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5C3DE" w14:textId="34FB7C57" w:rsidR="009F7CC7" w:rsidRPr="00FC260D" w:rsidRDefault="009F7CC7" w:rsidP="009F7CC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NR Ad-Hoc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R1-1700</w:t>
      </w:r>
      <w:r w:rsidR="004A4B76">
        <w:rPr>
          <w:rFonts w:ascii="Arial" w:hAnsi="Arial" w:cs="Arial"/>
          <w:b/>
          <w:bCs/>
          <w:sz w:val="24"/>
          <w:szCs w:val="24"/>
        </w:rPr>
        <w:t>896</w:t>
      </w:r>
    </w:p>
    <w:p w14:paraId="27EA58B6" w14:textId="22C07E9F" w:rsidR="00A51D74" w:rsidRPr="009F7CC7" w:rsidRDefault="009F7CC7" w:rsidP="00A51D74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</w:rPr>
      </w:pPr>
      <w:r w:rsidRPr="00BF56AE">
        <w:rPr>
          <w:rFonts w:eastAsia="MS Mincho" w:cs="Arial" w:hint="eastAsia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6</w:t>
      </w:r>
      <w:r w:rsidRPr="00BF56AE">
        <w:rPr>
          <w:rFonts w:cs="Arial" w:hint="eastAsia"/>
          <w:b/>
          <w:bCs/>
          <w:sz w:val="24"/>
          <w:vertAlign w:val="superscript"/>
        </w:rPr>
        <w:t>th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20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January</w:t>
      </w:r>
      <w:r w:rsidRPr="00BF56AE">
        <w:rPr>
          <w:rFonts w:cs="Arial"/>
          <w:b/>
          <w:bCs/>
          <w:sz w:val="24"/>
        </w:rPr>
        <w:t xml:space="preserve"> 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7CEC5EF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C32BA">
        <w:rPr>
          <w:rFonts w:ascii="Arial" w:hAnsi="Arial"/>
          <w:sz w:val="24"/>
          <w:lang w:eastAsia="ko-KR"/>
        </w:rPr>
        <w:t>5.1.2</w:t>
      </w:r>
      <w:r w:rsidR="00CA3A4A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B7E1FE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2BD0" w:rsidRPr="00BE2BD0">
        <w:rPr>
          <w:rFonts w:ascii="Arial" w:hAnsi="Arial"/>
          <w:sz w:val="24"/>
        </w:rPr>
        <w:t>DMRS-based spatial multiplexing for DL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D83131" w:rsidRDefault="0072162A" w:rsidP="002958FD">
      <w:pPr>
        <w:pStyle w:val="Heading1"/>
        <w:rPr>
          <w:sz w:val="28"/>
        </w:rPr>
      </w:pPr>
      <w:r w:rsidRPr="00D83131">
        <w:rPr>
          <w:sz w:val="28"/>
        </w:rPr>
        <w:t>I</w:t>
      </w:r>
      <w:r w:rsidRPr="00D83131">
        <w:rPr>
          <w:rFonts w:hint="eastAsia"/>
          <w:sz w:val="28"/>
        </w:rPr>
        <w:t>ntroduction</w:t>
      </w:r>
    </w:p>
    <w:p w14:paraId="0E12BA48" w14:textId="7B1F83FB" w:rsidR="00331709" w:rsidRDefault="003C695C" w:rsidP="000D684E">
      <w:pPr>
        <w:pStyle w:val="maintext"/>
        <w:ind w:firstLine="400"/>
      </w:pPr>
      <w:r>
        <w:t>In RAN1#8</w:t>
      </w:r>
      <w:r w:rsidR="008C09D8">
        <w:t>7</w:t>
      </w:r>
      <w:r w:rsidR="00331709">
        <w:t>, the following agreement on DL MIMO was made</w:t>
      </w:r>
      <w:r w:rsidR="00661535">
        <w:t xml:space="preserve"> </w:t>
      </w:r>
      <w:r w:rsidR="00661535">
        <w:fldChar w:fldCharType="begin"/>
      </w:r>
      <w:r w:rsidR="00661535">
        <w:instrText xml:space="preserve"> REF _Ref458561466 \r \h </w:instrText>
      </w:r>
      <w:r w:rsidR="00661535">
        <w:fldChar w:fldCharType="separate"/>
      </w:r>
      <w:r w:rsidR="00661535">
        <w:t>[1]</w:t>
      </w:r>
      <w:r w:rsidR="00661535">
        <w:fldChar w:fldCharType="end"/>
      </w:r>
      <w:r w:rsidR="00331709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27EB" w14:paraId="7A9C3D11" w14:textId="77777777" w:rsidTr="007627EB">
        <w:tc>
          <w:tcPr>
            <w:tcW w:w="9855" w:type="dxa"/>
          </w:tcPr>
          <w:p w14:paraId="07BFA728" w14:textId="77777777" w:rsidR="003C695C" w:rsidRPr="005972F9" w:rsidRDefault="003C695C" w:rsidP="003C695C">
            <w:pPr>
              <w:snapToGrid w:val="0"/>
              <w:spacing w:after="0"/>
              <w:rPr>
                <w:rFonts w:eastAsia="MS Mincho"/>
                <w:u w:val="single"/>
                <w:lang w:eastAsia="ja-JP"/>
              </w:rPr>
            </w:pPr>
            <w:r w:rsidRPr="00F71A4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28EE28F4" w14:textId="77777777" w:rsidR="008C09D8" w:rsidRPr="009F6A9C" w:rsidRDefault="008C09D8" w:rsidP="008C09D8">
            <w:pPr>
              <w:numPr>
                <w:ilvl w:val="0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Support at least the following DMRS based DL MIMO transmissions for data in NR,</w:t>
            </w:r>
          </w:p>
          <w:p w14:paraId="53A5E391" w14:textId="77777777" w:rsidR="008C09D8" w:rsidRPr="009F6A9C" w:rsidRDefault="008C09D8" w:rsidP="008C09D8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154F5">
              <w:rPr>
                <w:rFonts w:eastAsia="MS Mincho"/>
                <w:iCs/>
                <w:highlight w:val="yellow"/>
                <w:lang w:val="en-US" w:eastAsia="ja-JP"/>
              </w:rPr>
              <w:t>Scheme 1: Closed-loop transmission</w:t>
            </w:r>
            <w:r w:rsidRPr="009F6A9C">
              <w:rPr>
                <w:rFonts w:eastAsia="MS Mincho"/>
                <w:iCs/>
                <w:lang w:val="en-US" w:eastAsia="ja-JP"/>
              </w:rPr>
              <w:t xml:space="preserve"> where data and DMRS are transmitted with the same precoding matrix</w:t>
            </w:r>
          </w:p>
          <w:p w14:paraId="1E182418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Demodulation of data at the UE does not require knowledge of the precoding matrix used at the transmitter</w:t>
            </w:r>
          </w:p>
          <w:p w14:paraId="1F2D6E35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Note: spatial multiplexing and rank-1 are included</w:t>
            </w:r>
          </w:p>
          <w:p w14:paraId="2CE9B7A7" w14:textId="77777777" w:rsidR="008C09D8" w:rsidRPr="009F6A9C" w:rsidRDefault="008C09D8" w:rsidP="008C09D8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154F5">
              <w:rPr>
                <w:rFonts w:eastAsia="MS Mincho"/>
                <w:iCs/>
                <w:highlight w:val="yellow"/>
                <w:lang w:val="en-US" w:eastAsia="ja-JP"/>
              </w:rPr>
              <w:t>Scheme 2: Open loop and Semi-open loop transmissions</w:t>
            </w:r>
            <w:r w:rsidRPr="009F6A9C">
              <w:rPr>
                <w:rFonts w:eastAsia="MS Mincho"/>
                <w:iCs/>
                <w:lang w:val="en-US" w:eastAsia="ja-JP"/>
              </w:rPr>
              <w:t xml:space="preserve"> where data and DMRS may or may not be restricted to be transmitted with the same precoding matrix</w:t>
            </w:r>
          </w:p>
          <w:p w14:paraId="1D3757B0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Demodulation of data at the UE may or may not require knowledge of the relation between DMRS ports and data layers</w:t>
            </w:r>
          </w:p>
          <w:p w14:paraId="6F2BC27E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 xml:space="preserve">Note: DMRS can be </w:t>
            </w:r>
            <w:proofErr w:type="spellStart"/>
            <w:r w:rsidRPr="009F6A9C">
              <w:rPr>
                <w:rFonts w:eastAsia="MS Mincho"/>
                <w:iCs/>
                <w:lang w:val="en-US" w:eastAsia="ja-JP"/>
              </w:rPr>
              <w:t>precoded</w:t>
            </w:r>
            <w:proofErr w:type="spellEnd"/>
            <w:r w:rsidRPr="009F6A9C">
              <w:rPr>
                <w:rFonts w:eastAsia="MS Mincho"/>
                <w:iCs/>
                <w:lang w:val="en-US" w:eastAsia="ja-JP"/>
              </w:rPr>
              <w:t xml:space="preserve"> or not </w:t>
            </w:r>
            <w:proofErr w:type="spellStart"/>
            <w:r w:rsidRPr="009F6A9C">
              <w:rPr>
                <w:rFonts w:eastAsia="MS Mincho"/>
                <w:iCs/>
                <w:lang w:val="en-US" w:eastAsia="ja-JP"/>
              </w:rPr>
              <w:t>precoded</w:t>
            </w:r>
            <w:proofErr w:type="spellEnd"/>
          </w:p>
          <w:p w14:paraId="7CD14784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Study the transmission schemes, e.g., SFBC, Large delay CDD, Layer shifting, small delay  CDD</w:t>
            </w:r>
          </w:p>
          <w:p w14:paraId="03B19ACD" w14:textId="77777777" w:rsidR="008C09D8" w:rsidRPr="009F6A9C" w:rsidRDefault="008C09D8" w:rsidP="008C09D8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>Study the selection of transparent and/or non-transparent DMRS</w:t>
            </w:r>
          </w:p>
          <w:p w14:paraId="4F8C6A16" w14:textId="77777777" w:rsidR="008C09D8" w:rsidRPr="009F6A9C" w:rsidRDefault="008C09D8" w:rsidP="008C09D8">
            <w:pPr>
              <w:numPr>
                <w:ilvl w:val="3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 xml:space="preserve">Transparent DMRS: DMRS and data </w:t>
            </w:r>
            <w:proofErr w:type="spellStart"/>
            <w:r w:rsidRPr="009F6A9C">
              <w:rPr>
                <w:rFonts w:eastAsia="MS Mincho"/>
                <w:iCs/>
                <w:lang w:val="en-US" w:eastAsia="ja-JP"/>
              </w:rPr>
              <w:t>precoded</w:t>
            </w:r>
            <w:proofErr w:type="spellEnd"/>
            <w:r w:rsidRPr="009F6A9C">
              <w:rPr>
                <w:rFonts w:eastAsia="MS Mincho"/>
                <w:iCs/>
                <w:lang w:val="en-US" w:eastAsia="ja-JP"/>
              </w:rPr>
              <w:t xml:space="preserve"> identically</w:t>
            </w:r>
          </w:p>
          <w:p w14:paraId="24054E5E" w14:textId="0423B6C7" w:rsidR="007627EB" w:rsidRPr="008C09D8" w:rsidRDefault="008C09D8" w:rsidP="008C09D8">
            <w:pPr>
              <w:numPr>
                <w:ilvl w:val="3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F6A9C">
              <w:rPr>
                <w:rFonts w:eastAsia="MS Mincho"/>
                <w:iCs/>
                <w:lang w:val="en-US" w:eastAsia="ja-JP"/>
              </w:rPr>
              <w:t xml:space="preserve">Non-transparent DMRS: DMRS  and data </w:t>
            </w:r>
            <w:proofErr w:type="spellStart"/>
            <w:r w:rsidRPr="009F6A9C">
              <w:rPr>
                <w:rFonts w:eastAsia="MS Mincho"/>
                <w:iCs/>
                <w:lang w:val="en-US" w:eastAsia="ja-JP"/>
              </w:rPr>
              <w:t>precoded</w:t>
            </w:r>
            <w:proofErr w:type="spellEnd"/>
            <w:r w:rsidRPr="009F6A9C">
              <w:rPr>
                <w:rFonts w:eastAsia="MS Mincho"/>
                <w:iCs/>
                <w:lang w:val="en-US" w:eastAsia="ja-JP"/>
              </w:rPr>
              <w:t xml:space="preserve"> differently</w:t>
            </w:r>
          </w:p>
        </w:tc>
      </w:tr>
    </w:tbl>
    <w:p w14:paraId="288D5DA1" w14:textId="77777777" w:rsidR="00331709" w:rsidRPr="007627EB" w:rsidRDefault="00331709" w:rsidP="007627EB">
      <w:pPr>
        <w:pStyle w:val="maintext"/>
        <w:ind w:firstLineChars="0" w:firstLine="0"/>
      </w:pPr>
    </w:p>
    <w:p w14:paraId="4E6CCAF8" w14:textId="0CCD4B74" w:rsidR="008D5BB7" w:rsidRDefault="00C6489F" w:rsidP="008D5BB7">
      <w:pPr>
        <w:pStyle w:val="maintext"/>
        <w:ind w:firstLine="400"/>
      </w:pPr>
      <w:r w:rsidRPr="008C3FDD">
        <w:t xml:space="preserve">This contribution </w:t>
      </w:r>
      <w:r w:rsidR="00685BF2">
        <w:t>addresses</w:t>
      </w:r>
      <w:r w:rsidR="008D5BB7">
        <w:t xml:space="preserve"> two issues</w:t>
      </w:r>
      <w:r w:rsidR="003B7124">
        <w:t xml:space="preserve"> related to the highlighted part of the agreement</w:t>
      </w:r>
      <w:r w:rsidR="008D5BB7">
        <w:t xml:space="preserve">: </w:t>
      </w:r>
    </w:p>
    <w:p w14:paraId="049CE897" w14:textId="58CBFE42" w:rsidR="00F03354" w:rsidRDefault="004154F5" w:rsidP="008D5BB7">
      <w:pPr>
        <w:pStyle w:val="maintext"/>
        <w:numPr>
          <w:ilvl w:val="0"/>
          <w:numId w:val="21"/>
        </w:numPr>
        <w:ind w:firstLineChars="0"/>
      </w:pPr>
      <w:r>
        <w:t>Transmission scheme terminology</w:t>
      </w:r>
    </w:p>
    <w:p w14:paraId="2AA61DC3" w14:textId="7CDAEEE9" w:rsidR="00AD6148" w:rsidRDefault="004154F5" w:rsidP="008D5BB7">
      <w:pPr>
        <w:pStyle w:val="maintext"/>
        <w:numPr>
          <w:ilvl w:val="0"/>
          <w:numId w:val="21"/>
        </w:numPr>
        <w:ind w:firstLineChars="0"/>
      </w:pPr>
      <w:r>
        <w:t>Scheme 1 and 2</w:t>
      </w:r>
      <w:r w:rsidR="00E36A4D">
        <w:t xml:space="preserve"> – </w:t>
      </w:r>
      <w:r w:rsidR="00051929">
        <w:t xml:space="preserve">further </w:t>
      </w:r>
      <w:r w:rsidR="00E36A4D">
        <w:t xml:space="preserve">consideration </w:t>
      </w:r>
    </w:p>
    <w:p w14:paraId="3079154D" w14:textId="77777777" w:rsidR="007005CD" w:rsidRPr="008C3FDD" w:rsidRDefault="007005CD" w:rsidP="007005CD">
      <w:pPr>
        <w:pStyle w:val="maintext"/>
        <w:ind w:left="1120" w:firstLineChars="0" w:firstLine="0"/>
      </w:pPr>
    </w:p>
    <w:p w14:paraId="41D0954F" w14:textId="227463FE" w:rsidR="003E633B" w:rsidRPr="00D83131" w:rsidRDefault="004154F5" w:rsidP="00AD6148">
      <w:pPr>
        <w:pStyle w:val="Heading1"/>
        <w:rPr>
          <w:sz w:val="28"/>
        </w:rPr>
      </w:pPr>
      <w:r>
        <w:rPr>
          <w:sz w:val="28"/>
        </w:rPr>
        <w:t>Transmission scheme terminology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A262B42" w14:textId="77777777" w:rsidR="007F336C" w:rsidRDefault="00922CA8" w:rsidP="00FB6C6B">
      <w:pPr>
        <w:pStyle w:val="maintext"/>
        <w:ind w:firstLine="400"/>
      </w:pPr>
      <w:r>
        <w:t xml:space="preserve">The agreement comprises the support of two transmission schemes: Scheme 1 </w:t>
      </w:r>
      <w:r w:rsidR="007F336C">
        <w:t xml:space="preserve">(closed-loop transmission) </w:t>
      </w:r>
      <w:r>
        <w:t>and 2</w:t>
      </w:r>
      <w:r w:rsidR="007F336C">
        <w:t xml:space="preserve"> (open-loop and semi-open-loop transmission)</w:t>
      </w:r>
      <w:r>
        <w:t xml:space="preserve">. From </w:t>
      </w:r>
      <w:r w:rsidR="007F336C">
        <w:t xml:space="preserve">such </w:t>
      </w:r>
      <w:r>
        <w:t>descriptions,</w:t>
      </w:r>
      <w:r w:rsidR="007F336C">
        <w:t xml:space="preserve"> there is some inherent coupling between CSI </w:t>
      </w:r>
      <w:proofErr w:type="gramStart"/>
      <w:r w:rsidR="007F336C">
        <w:t>reporting</w:t>
      </w:r>
      <w:proofErr w:type="gramEnd"/>
      <w:r w:rsidR="007F336C">
        <w:t xml:space="preserve"> and transmission scheme. In this case, the term ‘closed-loop’ refers to the use of PMI (or, in general, spatial information) feedback from the UE. The terms ‘open-loop’, on the other hand, construes the absence of PMI (spatial information) feedback from the UE. Likewise, ‘semi-open-loop’ implies the use of partial PMI such as the scheme supported in Rel.14 </w:t>
      </w:r>
      <w:proofErr w:type="spellStart"/>
      <w:r w:rsidR="007F336C">
        <w:t>eFD</w:t>
      </w:r>
      <w:proofErr w:type="spellEnd"/>
      <w:r w:rsidR="007F336C">
        <w:t xml:space="preserve">-MIMO. </w:t>
      </w:r>
    </w:p>
    <w:p w14:paraId="2FC90DF7" w14:textId="77777777" w:rsidR="004B0D87" w:rsidRDefault="007F336C" w:rsidP="00FB6C6B">
      <w:pPr>
        <w:pStyle w:val="maintext"/>
        <w:ind w:firstLine="400"/>
      </w:pPr>
      <w:r>
        <w:t>Used in UMTS and LTE, the terms ‘closed-loop’, ‘open-loop’, and ‘semi-open-loop’ can be appropriate since transmission scheme and</w:t>
      </w:r>
      <w:r w:rsidR="00CF0CF4">
        <w:t xml:space="preserve"> the content of CSI reporting are intentionally coupled, either to form a transmission mode (such as TM3 and TM4) or simply a characteristic of the transmission scheme (such as ‘semi-open-loop’ scheme of Rel.14 </w:t>
      </w:r>
      <w:proofErr w:type="spellStart"/>
      <w:r w:rsidR="00CF0CF4">
        <w:t>eFD</w:t>
      </w:r>
      <w:proofErr w:type="spellEnd"/>
      <w:r w:rsidR="00CF0CF4">
        <w:t xml:space="preserve">-MIMO). </w:t>
      </w:r>
    </w:p>
    <w:p w14:paraId="2764BA05" w14:textId="439737E4" w:rsidR="002F492E" w:rsidRDefault="00CF0CF4" w:rsidP="00FB6C6B">
      <w:pPr>
        <w:pStyle w:val="maintext"/>
        <w:ind w:firstLine="400"/>
      </w:pPr>
      <w:r>
        <w:t>For NR, however, this paradigm has outlived its usefulness since the use of scalable/flexible CSI framework (agreed in RAN1#86bis and refined in RAN1#87</w:t>
      </w:r>
      <w:r w:rsidR="002F492E">
        <w:t xml:space="preserve">, see also </w:t>
      </w:r>
      <w:r w:rsidR="002F492E">
        <w:fldChar w:fldCharType="begin"/>
      </w:r>
      <w:r w:rsidR="002F492E">
        <w:instrText xml:space="preserve"> REF _Ref471344200 \r \h </w:instrText>
      </w:r>
      <w:r w:rsidR="002F492E">
        <w:fldChar w:fldCharType="separate"/>
      </w:r>
      <w:r w:rsidR="002F492E">
        <w:t>[2]</w:t>
      </w:r>
      <w:r w:rsidR="002F492E">
        <w:fldChar w:fldCharType="end"/>
      </w:r>
      <w:r>
        <w:t xml:space="preserve">) largely decouples transmission scheme from CSI acquisition. </w:t>
      </w:r>
      <w:r w:rsidR="002E2CD9">
        <w:t>T</w:t>
      </w:r>
      <w:r>
        <w:t xml:space="preserve">he terms ‘closed-loop’, ‘open-loop’, and ‘semi-open-loop’ are inefficient at best (and misnomers at worst) for NR, even for Rel.14 </w:t>
      </w:r>
      <w:proofErr w:type="spellStart"/>
      <w:r>
        <w:t>eFD</w:t>
      </w:r>
      <w:proofErr w:type="spellEnd"/>
      <w:r>
        <w:t xml:space="preserve">-MIMO. For example, both </w:t>
      </w:r>
      <w:r w:rsidR="00AF7543">
        <w:t xml:space="preserve">LTE </w:t>
      </w:r>
      <w:r>
        <w:t>TM</w:t>
      </w:r>
      <w:r w:rsidR="000D7C27">
        <w:t>3</w:t>
      </w:r>
      <w:r>
        <w:t xml:space="preserve"> and the so-called ‘semi-open-loop’ of Rel.14 </w:t>
      </w:r>
      <w:proofErr w:type="spellStart"/>
      <w:r>
        <w:t>eFD</w:t>
      </w:r>
      <w:proofErr w:type="spellEnd"/>
      <w:r>
        <w:t>-MIMO utilize the same transmission scheme: precoder cycling.</w:t>
      </w:r>
      <w:r w:rsidR="004B0D87">
        <w:t xml:space="preserve"> The two are different in the use of PMI feedback and </w:t>
      </w:r>
      <w:r w:rsidR="004B0D87">
        <w:lastRenderedPageBreak/>
        <w:t>CQI calculation (in addition to the RS type).</w:t>
      </w:r>
      <w:r w:rsidR="00AF7543">
        <w:t xml:space="preserve"> TM</w:t>
      </w:r>
      <w:r w:rsidR="000D7C27">
        <w:t>3</w:t>
      </w:r>
      <w:r w:rsidR="00AF7543">
        <w:t xml:space="preserve"> is PMI-less and reports only one CQI regardless of RI. </w:t>
      </w:r>
      <w:r w:rsidR="009A4938">
        <w:t xml:space="preserve">Rel.14 </w:t>
      </w:r>
      <w:proofErr w:type="spellStart"/>
      <w:r w:rsidR="00AF7543">
        <w:t>eFD</w:t>
      </w:r>
      <w:proofErr w:type="spellEnd"/>
      <w:r w:rsidR="00AF7543">
        <w:t>-MIMO semi-OL, on the other hand, uses i1-only reporting (partial PMI) and up to 2 CQIs depending on RI. That is, the same transmission scheme can in fact be used with two different CSI acquisition settings.</w:t>
      </w:r>
      <w:r w:rsidR="002E2CD9">
        <w:t xml:space="preserve"> Even more examples which demonstrate the need for abandoning such a paradigm can be given when different </w:t>
      </w:r>
      <w:proofErr w:type="spellStart"/>
      <w:r w:rsidR="002E2CD9">
        <w:t>eMIMO</w:t>
      </w:r>
      <w:proofErr w:type="spellEnd"/>
      <w:r w:rsidR="002E2CD9">
        <w:t>-Types and hybrid CSI are further considered.</w:t>
      </w:r>
    </w:p>
    <w:p w14:paraId="05481939" w14:textId="0FF1C31F" w:rsidR="00D22CEF" w:rsidRDefault="009A4938" w:rsidP="002E2CD9">
      <w:pPr>
        <w:pStyle w:val="maintext"/>
        <w:ind w:firstLine="400"/>
      </w:pPr>
      <w:r>
        <w:t>Based on the above discussion,</w:t>
      </w:r>
      <w:r w:rsidR="002E2CD9">
        <w:t xml:space="preserve"> the following proposal is made.</w:t>
      </w:r>
      <w:r w:rsidR="00CC7BC3">
        <w:t xml:space="preserve"> A similar proposal is also made for UL MIMO in a companion contribution </w:t>
      </w:r>
      <w:r w:rsidR="00CC7BC3">
        <w:fldChar w:fldCharType="begin"/>
      </w:r>
      <w:r w:rsidR="00CC7BC3">
        <w:instrText xml:space="preserve"> REF _Ref471347461 \r \h </w:instrText>
      </w:r>
      <w:r w:rsidR="00CC7BC3">
        <w:fldChar w:fldCharType="separate"/>
      </w:r>
      <w:r w:rsidR="00CC7BC3">
        <w:t>[3]</w:t>
      </w:r>
      <w:r w:rsidR="00CC7BC3">
        <w:fldChar w:fldCharType="end"/>
      </w:r>
      <w:r w:rsidR="00CC7BC3">
        <w:t xml:space="preserve">. </w:t>
      </w:r>
    </w:p>
    <w:p w14:paraId="3DA58608" w14:textId="77777777" w:rsidR="006C02D8" w:rsidRDefault="006C02D8" w:rsidP="002E2CD9">
      <w:pPr>
        <w:pStyle w:val="maintext"/>
        <w:snapToGrid w:val="0"/>
        <w:ind w:firstLine="400"/>
      </w:pPr>
    </w:p>
    <w:p w14:paraId="1656674B" w14:textId="25B5C434" w:rsidR="002E2CD9" w:rsidRDefault="002128BC" w:rsidP="002E2CD9">
      <w:pPr>
        <w:pStyle w:val="maintext"/>
        <w:snapToGrid w:val="0"/>
        <w:ind w:firstLineChars="0" w:firstLine="0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="002E2CD9">
        <w:t xml:space="preserve"> </w:t>
      </w:r>
      <w:r w:rsidR="002E2CD9" w:rsidRPr="002E2CD9">
        <w:rPr>
          <w:i/>
        </w:rPr>
        <w:t xml:space="preserve">Remove the </w:t>
      </w:r>
      <w:r w:rsidR="002E2CD9">
        <w:rPr>
          <w:i/>
        </w:rPr>
        <w:t xml:space="preserve">misleading </w:t>
      </w:r>
      <w:r w:rsidR="002E2CD9" w:rsidRPr="002E2CD9">
        <w:rPr>
          <w:i/>
        </w:rPr>
        <w:t xml:space="preserve">association between Scheme 1/2 and ‘closed-loop’/’open-loop’/’semi-open-loop’ and </w:t>
      </w:r>
      <w:r w:rsidR="002E2CD9">
        <w:rPr>
          <w:i/>
        </w:rPr>
        <w:t xml:space="preserve">simplify </w:t>
      </w:r>
      <w:r w:rsidR="002E2CD9" w:rsidRPr="002E2CD9">
        <w:rPr>
          <w:i/>
        </w:rPr>
        <w:t>the description</w:t>
      </w:r>
      <w:r w:rsidR="002E2CD9">
        <w:rPr>
          <w:i/>
        </w:rPr>
        <w:t xml:space="preserve"> as follows</w:t>
      </w:r>
      <w:r w:rsidR="002E2CD9" w:rsidRPr="002E2CD9">
        <w:rPr>
          <w:i/>
        </w:rPr>
        <w:t>:</w:t>
      </w:r>
    </w:p>
    <w:p w14:paraId="6E63B9F7" w14:textId="0BC5585B" w:rsidR="002E2CD9" w:rsidRPr="002E2CD9" w:rsidRDefault="002E2CD9" w:rsidP="002E2CD9">
      <w:pPr>
        <w:pStyle w:val="maintext"/>
        <w:numPr>
          <w:ilvl w:val="0"/>
          <w:numId w:val="25"/>
        </w:numPr>
        <w:snapToGrid w:val="0"/>
        <w:ind w:firstLineChars="0"/>
        <w:rPr>
          <w:i/>
        </w:rPr>
      </w:pPr>
      <w:r w:rsidRPr="002E2CD9">
        <w:rPr>
          <w:i/>
        </w:rPr>
        <w:t xml:space="preserve">Transmission scheme 1 (TS 1): </w:t>
      </w:r>
      <w:r w:rsidRPr="002E2CD9">
        <w:rPr>
          <w:rFonts w:eastAsia="MS Mincho"/>
          <w:i/>
          <w:iCs/>
          <w:lang w:val="en-US" w:eastAsia="ja-JP"/>
        </w:rPr>
        <w:t>data and DMRS are transmitted with the same precoding matrix</w:t>
      </w:r>
    </w:p>
    <w:p w14:paraId="2828C6A8" w14:textId="3F59ED9A" w:rsidR="002E2CD9" w:rsidRPr="002E2CD9" w:rsidRDefault="002E2CD9" w:rsidP="002E2CD9">
      <w:pPr>
        <w:pStyle w:val="maintext"/>
        <w:numPr>
          <w:ilvl w:val="1"/>
          <w:numId w:val="25"/>
        </w:numPr>
        <w:snapToGrid w:val="0"/>
        <w:ind w:firstLineChars="0"/>
        <w:rPr>
          <w:i/>
        </w:rPr>
      </w:pPr>
      <w:r w:rsidRPr="002E2CD9">
        <w:rPr>
          <w:rFonts w:eastAsia="MS Mincho"/>
          <w:i/>
          <w:iCs/>
          <w:lang w:val="en-US" w:eastAsia="ja-JP"/>
        </w:rPr>
        <w:t>Demodulation of data at the UE does not require knowledge of the precoding matrix used at the transmitter</w:t>
      </w:r>
    </w:p>
    <w:p w14:paraId="5718C2B0" w14:textId="6D01C13B" w:rsidR="002E2CD9" w:rsidRPr="002E2CD9" w:rsidRDefault="002E2CD9" w:rsidP="002E2CD9">
      <w:pPr>
        <w:pStyle w:val="maintext"/>
        <w:numPr>
          <w:ilvl w:val="0"/>
          <w:numId w:val="25"/>
        </w:numPr>
        <w:snapToGrid w:val="0"/>
        <w:ind w:firstLineChars="0"/>
        <w:rPr>
          <w:i/>
        </w:rPr>
      </w:pPr>
      <w:r w:rsidRPr="002E2CD9">
        <w:rPr>
          <w:i/>
        </w:rPr>
        <w:t xml:space="preserve">Transmission scheme 2 (TS 2): </w:t>
      </w:r>
      <w:r>
        <w:rPr>
          <w:i/>
        </w:rPr>
        <w:t xml:space="preserve">diversity-based scheme where </w:t>
      </w:r>
      <w:r w:rsidRPr="002E2CD9">
        <w:rPr>
          <w:rFonts w:eastAsia="MS Mincho"/>
          <w:i/>
          <w:iCs/>
          <w:lang w:val="en-US" w:eastAsia="ja-JP"/>
        </w:rPr>
        <w:t>data and DMRS may or may not be restricted to be transmitted with the same precoding matrix</w:t>
      </w:r>
    </w:p>
    <w:p w14:paraId="6BF1BC51" w14:textId="77777777" w:rsidR="002E2CD9" w:rsidRPr="002E2CD9" w:rsidRDefault="002E2CD9" w:rsidP="002E2CD9">
      <w:pPr>
        <w:numPr>
          <w:ilvl w:val="1"/>
          <w:numId w:val="25"/>
        </w:numPr>
        <w:snapToGrid w:val="0"/>
        <w:spacing w:before="60" w:after="60" w:line="288" w:lineRule="auto"/>
        <w:jc w:val="both"/>
        <w:rPr>
          <w:rFonts w:eastAsia="MS Mincho"/>
          <w:i/>
          <w:iCs/>
          <w:lang w:val="en-US" w:eastAsia="ja-JP"/>
        </w:rPr>
      </w:pPr>
      <w:r w:rsidRPr="002E2CD9">
        <w:rPr>
          <w:rFonts w:eastAsia="MS Mincho"/>
          <w:i/>
          <w:iCs/>
          <w:lang w:val="en-US" w:eastAsia="ja-JP"/>
        </w:rPr>
        <w:t>Demodulation of data at the UE may or may not require knowledge of the relation between DMRS ports and data layers</w:t>
      </w:r>
    </w:p>
    <w:p w14:paraId="039E332C" w14:textId="77777777" w:rsidR="006B1DB5" w:rsidRPr="00433134" w:rsidRDefault="006B1DB5" w:rsidP="00051929">
      <w:pPr>
        <w:pStyle w:val="maintext"/>
        <w:snapToGrid w:val="0"/>
        <w:ind w:firstLineChars="0" w:firstLine="0"/>
        <w:rPr>
          <w:i/>
        </w:rPr>
      </w:pPr>
    </w:p>
    <w:p w14:paraId="75F2C8AC" w14:textId="24A92B1B" w:rsidR="001173EB" w:rsidRPr="00D83131" w:rsidRDefault="00C373FC" w:rsidP="001173EB">
      <w:pPr>
        <w:pStyle w:val="Heading1"/>
        <w:rPr>
          <w:sz w:val="28"/>
        </w:rPr>
      </w:pPr>
      <w:bookmarkStart w:id="2" w:name="_Ref446598629"/>
      <w:r>
        <w:rPr>
          <w:sz w:val="28"/>
        </w:rPr>
        <w:t>Transmission s</w:t>
      </w:r>
      <w:r w:rsidR="004154F5">
        <w:rPr>
          <w:sz w:val="28"/>
        </w:rPr>
        <w:t>cheme 1 and 2</w:t>
      </w:r>
      <w:r w:rsidR="00E36A4D">
        <w:rPr>
          <w:sz w:val="28"/>
        </w:rPr>
        <w:t xml:space="preserve"> – consideration </w:t>
      </w:r>
      <w:r w:rsidR="001173EB" w:rsidRPr="00D83131">
        <w:rPr>
          <w:sz w:val="28"/>
        </w:rPr>
        <w:t xml:space="preserve"> </w:t>
      </w:r>
      <w:bookmarkEnd w:id="2"/>
    </w:p>
    <w:p w14:paraId="7E09680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FB38576" w14:textId="77777777" w:rsidR="00BA11BA" w:rsidRDefault="00836B39" w:rsidP="00C373FC">
      <w:pPr>
        <w:spacing w:before="60" w:after="60" w:line="288" w:lineRule="auto"/>
        <w:ind w:firstLine="446"/>
        <w:jc w:val="both"/>
      </w:pPr>
      <w:r>
        <w:t xml:space="preserve">The support of </w:t>
      </w:r>
      <w:r w:rsidR="00C373FC">
        <w:t xml:space="preserve">TS </w:t>
      </w:r>
      <w:r>
        <w:t xml:space="preserve">1 and </w:t>
      </w:r>
      <w:r w:rsidR="00C373FC">
        <w:t xml:space="preserve">TS </w:t>
      </w:r>
      <w:r>
        <w:t>2 facili</w:t>
      </w:r>
      <w:r w:rsidR="00C373FC">
        <w:t>t</w:t>
      </w:r>
      <w:r>
        <w:t>ates</w:t>
      </w:r>
      <w:r w:rsidR="00DC0010">
        <w:t xml:space="preserve"> a two-tier </w:t>
      </w:r>
      <w:r w:rsidR="004778F0">
        <w:t>DMRS</w:t>
      </w:r>
      <w:r w:rsidR="00DC0010">
        <w:t xml:space="preserve">-based </w:t>
      </w:r>
      <w:r w:rsidR="004778F0">
        <w:t>SM</w:t>
      </w:r>
      <w:r w:rsidR="00DC0010">
        <w:t xml:space="preserve"> analogous to </w:t>
      </w:r>
      <w:r w:rsidR="0047010E">
        <w:t xml:space="preserve">the schemes supported in </w:t>
      </w:r>
      <w:r w:rsidR="00DC0010">
        <w:t xml:space="preserve">Rel.14 </w:t>
      </w:r>
      <w:proofErr w:type="spellStart"/>
      <w:r w:rsidR="00DC0010">
        <w:t>eFD</w:t>
      </w:r>
      <w:proofErr w:type="spellEnd"/>
      <w:r w:rsidR="00DC0010">
        <w:t>-MIMO</w:t>
      </w:r>
      <w:r w:rsidR="00C373FC">
        <w:t>.</w:t>
      </w:r>
      <w:r w:rsidR="0047010E">
        <w:t xml:space="preserve"> </w:t>
      </w:r>
    </w:p>
    <w:p w14:paraId="2684A6FE" w14:textId="3EAD7D14" w:rsidR="00270C66" w:rsidRDefault="00C373FC" w:rsidP="00BA11BA">
      <w:pPr>
        <w:spacing w:before="60" w:after="60" w:line="288" w:lineRule="auto"/>
        <w:ind w:firstLine="446"/>
        <w:jc w:val="both"/>
      </w:pPr>
      <w:r w:rsidRPr="00BA11BA">
        <w:rPr>
          <w:i/>
        </w:rPr>
        <w:t>TS 1</w:t>
      </w:r>
      <w:r>
        <w:t xml:space="preserve"> </w:t>
      </w:r>
      <w:r w:rsidR="0047010E">
        <w:t xml:space="preserve">is especially applicable when accurate CSI is available at the </w:t>
      </w:r>
      <w:proofErr w:type="spellStart"/>
      <w:r w:rsidR="00250531">
        <w:t>g</w:t>
      </w:r>
      <w:r w:rsidR="0047010E">
        <w:t>NB</w:t>
      </w:r>
      <w:proofErr w:type="spellEnd"/>
      <w:r w:rsidR="00E81E45">
        <w:t>/TRP</w:t>
      </w:r>
      <w:r w:rsidR="0047010E">
        <w:t xml:space="preserve"> (for instance, low UE speeds and good cell isolation or inter-cell interference coordination). In this case, the </w:t>
      </w:r>
      <w:proofErr w:type="spellStart"/>
      <w:r w:rsidR="00250531">
        <w:t>g</w:t>
      </w:r>
      <w:r w:rsidR="0047010E">
        <w:t>NB</w:t>
      </w:r>
      <w:proofErr w:type="spellEnd"/>
      <w:r w:rsidR="00E81E45">
        <w:t>/TRP</w:t>
      </w:r>
      <w:r w:rsidR="0047010E">
        <w:t xml:space="preserve"> can transmit data through a narrow directional beam since accurate directional information is </w:t>
      </w:r>
      <w:r w:rsidR="00003595">
        <w:t>available</w:t>
      </w:r>
      <w:r w:rsidR="0047010E">
        <w:t xml:space="preserve"> in the CSI report. This directional information can be reported via PMI or other precoding-related feedback which includes both long-term and short-term precoding information</w:t>
      </w:r>
      <w:r w:rsidR="00EA5A4D">
        <w:t xml:space="preserve">. Analogous to LTE, short-term precoding information can be reported </w:t>
      </w:r>
      <w:r w:rsidR="005E5807">
        <w:t>as a wideband or subband CSI parameter. This facilitates frequency-selective pr</w:t>
      </w:r>
      <w:r w:rsidR="00C77BFC">
        <w:t>ecoding</w:t>
      </w:r>
      <w:r w:rsidR="005E5807">
        <w:t>.</w:t>
      </w:r>
      <w:r w:rsidR="00BA11BA">
        <w:t xml:space="preserve"> In addition, s</w:t>
      </w:r>
      <w:r w:rsidR="00F67546">
        <w:t xml:space="preserve">ince accurate CSI is available at the </w:t>
      </w:r>
      <w:proofErr w:type="spellStart"/>
      <w:r w:rsidR="00250531">
        <w:t>g</w:t>
      </w:r>
      <w:r w:rsidR="00F67546">
        <w:t>NB</w:t>
      </w:r>
      <w:proofErr w:type="spellEnd"/>
      <w:r w:rsidR="00E81E45">
        <w:t>/TRP</w:t>
      </w:r>
      <w:r w:rsidR="00F67546">
        <w:t xml:space="preserve">, the maximum number of DL layers (per UE) of 8 (see </w:t>
      </w:r>
      <w:r w:rsidR="00F67546">
        <w:fldChar w:fldCharType="begin"/>
      </w:r>
      <w:r w:rsidR="00F67546">
        <w:instrText xml:space="preserve"> REF _Ref446608541 \h </w:instrText>
      </w:r>
      <w:r w:rsidR="00F67546">
        <w:fldChar w:fldCharType="separate"/>
      </w:r>
      <w:r w:rsidR="00F67546">
        <w:t xml:space="preserve">Table </w:t>
      </w:r>
      <w:r w:rsidR="00F67546">
        <w:rPr>
          <w:noProof/>
        </w:rPr>
        <w:t>1</w:t>
      </w:r>
      <w:r w:rsidR="00F67546">
        <w:fldChar w:fldCharType="end"/>
      </w:r>
      <w:r w:rsidR="00F67546">
        <w:t>) can be supported.</w:t>
      </w:r>
    </w:p>
    <w:p w14:paraId="0FE13AA7" w14:textId="0F9768F6" w:rsidR="00003595" w:rsidRDefault="00BA11BA" w:rsidP="009F102C">
      <w:pPr>
        <w:spacing w:before="60" w:after="60" w:line="288" w:lineRule="auto"/>
        <w:ind w:firstLine="446"/>
        <w:jc w:val="both"/>
      </w:pPr>
      <w:r>
        <w:rPr>
          <w:i/>
        </w:rPr>
        <w:t>TS 2</w:t>
      </w:r>
      <w:r w:rsidR="0047010E">
        <w:t xml:space="preserve"> is</w:t>
      </w:r>
      <w:r w:rsidR="0047010E" w:rsidRPr="0047010E">
        <w:t xml:space="preserve"> </w:t>
      </w:r>
      <w:r w:rsidR="0047010E">
        <w:t xml:space="preserve">especially applicable when CSI </w:t>
      </w:r>
      <w:r w:rsidR="00003595">
        <w:t xml:space="preserve">quality </w:t>
      </w:r>
      <w:r w:rsidR="0047010E">
        <w:t xml:space="preserve">is </w:t>
      </w:r>
      <w:r w:rsidR="00003595">
        <w:t xml:space="preserve">impaired </w:t>
      </w:r>
      <w:r w:rsidR="0047010E">
        <w:t xml:space="preserve">at the </w:t>
      </w:r>
      <w:proofErr w:type="spellStart"/>
      <w:r w:rsidR="00BE47E7">
        <w:t>g</w:t>
      </w:r>
      <w:r w:rsidR="0047010E">
        <w:t>NB</w:t>
      </w:r>
      <w:proofErr w:type="spellEnd"/>
      <w:r w:rsidR="00E81E45">
        <w:t>/TRP</w:t>
      </w:r>
      <w:r w:rsidR="0047010E">
        <w:t xml:space="preserve"> (for instance, </w:t>
      </w:r>
      <w:r w:rsidR="00003595">
        <w:t>high</w:t>
      </w:r>
      <w:r w:rsidR="0047010E">
        <w:t xml:space="preserve"> UE speeds and </w:t>
      </w:r>
      <w:r w:rsidR="00003595">
        <w:t xml:space="preserve">poor </w:t>
      </w:r>
      <w:r w:rsidR="0047010E">
        <w:t xml:space="preserve">cell isolation </w:t>
      </w:r>
      <w:r w:rsidR="00003595">
        <w:t xml:space="preserve">which causes </w:t>
      </w:r>
      <w:proofErr w:type="spellStart"/>
      <w:r w:rsidR="00003595">
        <w:t>bursty</w:t>
      </w:r>
      <w:proofErr w:type="spellEnd"/>
      <w:r w:rsidR="00003595">
        <w:t xml:space="preserve"> </w:t>
      </w:r>
      <w:r w:rsidR="0047010E">
        <w:t>inter-cell interference</w:t>
      </w:r>
      <w:r w:rsidR="00003595">
        <w:t xml:space="preserve"> known as the flash-light effect</w:t>
      </w:r>
      <w:r w:rsidR="0047010E">
        <w:t>).</w:t>
      </w:r>
      <w:r w:rsidR="00003595">
        <w:t xml:space="preserve"> In this case, it is more advantageous for the </w:t>
      </w:r>
      <w:proofErr w:type="spellStart"/>
      <w:r w:rsidR="00BE47E7">
        <w:t>g</w:t>
      </w:r>
      <w:r w:rsidR="00003595">
        <w:t>NB</w:t>
      </w:r>
      <w:proofErr w:type="spellEnd"/>
      <w:r w:rsidR="00E81E45">
        <w:t>/TRP</w:t>
      </w:r>
      <w:r w:rsidR="00003595">
        <w:t xml:space="preserve"> to transmit data </w:t>
      </w:r>
      <w:r w:rsidR="009F102C">
        <w:t xml:space="preserve">with diversity operation. For example, if precoder cycling is chosen for TS 2, data transmission is performed </w:t>
      </w:r>
      <w:r w:rsidR="00003595">
        <w:t>through a group of directional beams</w:t>
      </w:r>
      <w:r w:rsidR="009F102C">
        <w:t>.</w:t>
      </w:r>
      <w:r w:rsidR="00003595">
        <w:t xml:space="preserve"> </w:t>
      </w:r>
      <w:r w:rsidR="009F102C">
        <w:t>From UE perspective,</w:t>
      </w:r>
      <w:r w:rsidR="00003595">
        <w:t xml:space="preserve"> approximate directional information can be reported via PMI or other precoding-related feedback which includes only long-term precoding information</w:t>
      </w:r>
      <w:r w:rsidR="005E5807">
        <w:t xml:space="preserve">. Such long-term precoding information does not require subband </w:t>
      </w:r>
      <w:r w:rsidR="00DE1C7E">
        <w:t xml:space="preserve">PMI </w:t>
      </w:r>
      <w:r w:rsidR="00A42B2B">
        <w:t xml:space="preserve">(or precoding-related) </w:t>
      </w:r>
      <w:r w:rsidR="005E5807">
        <w:t xml:space="preserve">reporting. </w:t>
      </w:r>
      <w:r w:rsidR="00F67546">
        <w:t xml:space="preserve">Without accurate CSI at the </w:t>
      </w:r>
      <w:proofErr w:type="spellStart"/>
      <w:r w:rsidR="0092464B">
        <w:t>g</w:t>
      </w:r>
      <w:r w:rsidR="00F67546">
        <w:t>NB</w:t>
      </w:r>
      <w:proofErr w:type="spellEnd"/>
      <w:r w:rsidR="00E81E45">
        <w:t>/TRP</w:t>
      </w:r>
      <w:r w:rsidR="00F67546">
        <w:t xml:space="preserve">, </w:t>
      </w:r>
      <w:r w:rsidR="009F102C">
        <w:t xml:space="preserve">lower maximum number of DL layers per UE of 2, or at most 4, is </w:t>
      </w:r>
      <w:r w:rsidR="00F67546">
        <w:t>supported</w:t>
      </w:r>
      <w:r w:rsidR="009F102C">
        <w:t xml:space="preserve"> (see </w:t>
      </w:r>
      <w:r w:rsidR="009F102C">
        <w:fldChar w:fldCharType="begin"/>
      </w:r>
      <w:r w:rsidR="009F102C">
        <w:instrText xml:space="preserve"> REF _Ref446608541 \h </w:instrText>
      </w:r>
      <w:r w:rsidR="009F102C">
        <w:fldChar w:fldCharType="separate"/>
      </w:r>
      <w:r w:rsidR="009F102C">
        <w:t xml:space="preserve">Table </w:t>
      </w:r>
      <w:r w:rsidR="009F102C">
        <w:rPr>
          <w:noProof/>
        </w:rPr>
        <w:t>1</w:t>
      </w:r>
      <w:r w:rsidR="009F102C">
        <w:fldChar w:fldCharType="end"/>
      </w:r>
      <w:r w:rsidR="009F102C">
        <w:t>)</w:t>
      </w:r>
      <w:r w:rsidR="00F67546">
        <w:t>.</w:t>
      </w:r>
    </w:p>
    <w:p w14:paraId="3A65BCD9" w14:textId="33766FBA" w:rsidR="00CC7BC3" w:rsidRDefault="00CC7BC3" w:rsidP="009F102C">
      <w:pPr>
        <w:spacing w:before="60" w:after="60" w:line="288" w:lineRule="auto"/>
        <w:ind w:firstLine="446"/>
        <w:jc w:val="both"/>
      </w:pPr>
      <w:r>
        <w:t xml:space="preserve">While there are several candidates for TS 2 (as captured in the agreement), we propose to choose precoder cycling in frequency domain as argued in our companion contribution </w:t>
      </w:r>
      <w:r>
        <w:fldChar w:fldCharType="begin"/>
      </w:r>
      <w:r>
        <w:instrText xml:space="preserve"> REF _Ref471347520 \r \h </w:instrText>
      </w:r>
      <w:r>
        <w:fldChar w:fldCharType="separate"/>
      </w:r>
      <w:r>
        <w:t>[4]</w:t>
      </w:r>
      <w:r>
        <w:fldChar w:fldCharType="end"/>
      </w:r>
      <w:r>
        <w:t xml:space="preserve">. With this choice, there is no need for another transmission scheme for NR.  </w:t>
      </w:r>
    </w:p>
    <w:p w14:paraId="36E91786" w14:textId="4F60C79B" w:rsidR="00911CDE" w:rsidRDefault="00003595" w:rsidP="003D029B">
      <w:pPr>
        <w:spacing w:before="60" w:after="60" w:line="288" w:lineRule="auto"/>
        <w:ind w:firstLine="446"/>
        <w:jc w:val="both"/>
      </w:pPr>
      <w:r>
        <w:t xml:space="preserve">For TDD scenarios, both </w:t>
      </w:r>
      <w:r w:rsidR="00A5251F">
        <w:t>TS 1 and TS 2</w:t>
      </w:r>
      <w:r w:rsidR="003D029B">
        <w:t xml:space="preserve"> </w:t>
      </w:r>
      <w:r>
        <w:t>can be supported without precoding-related feedback provided that DL CSI can be estimated by exploiting UL-DL short-term reciprocity.</w:t>
      </w:r>
      <w:r w:rsidR="007321FF">
        <w:t xml:space="preserve"> </w:t>
      </w:r>
    </w:p>
    <w:p w14:paraId="1C6CDEE0" w14:textId="77777777" w:rsidR="00D82B0E" w:rsidRDefault="00D82B0E" w:rsidP="00CC7BC3">
      <w:pPr>
        <w:spacing w:before="60" w:after="60" w:line="288" w:lineRule="auto"/>
        <w:jc w:val="both"/>
      </w:pPr>
    </w:p>
    <w:p w14:paraId="17AEFD23" w14:textId="4578407A" w:rsidR="00D82B0E" w:rsidRPr="00CC7BC3" w:rsidRDefault="00D82B0E" w:rsidP="00D82B0E">
      <w:pPr>
        <w:pStyle w:val="Caption"/>
        <w:jc w:val="center"/>
      </w:pPr>
      <w:bookmarkStart w:id="3" w:name="_Ref446633766"/>
      <w:bookmarkStart w:id="4" w:name="_Ref462677121"/>
      <w:r w:rsidRPr="00CC7BC3">
        <w:t xml:space="preserve">Table </w:t>
      </w:r>
      <w:r w:rsidRPr="00CC7BC3">
        <w:fldChar w:fldCharType="begin"/>
      </w:r>
      <w:r w:rsidRPr="00CC7BC3">
        <w:instrText xml:space="preserve"> SEQ Table \* ARABIC </w:instrText>
      </w:r>
      <w:r w:rsidRPr="00CC7BC3">
        <w:fldChar w:fldCharType="separate"/>
      </w:r>
      <w:r w:rsidR="00A5251F" w:rsidRPr="00CC7BC3">
        <w:rPr>
          <w:noProof/>
        </w:rPr>
        <w:t>1</w:t>
      </w:r>
      <w:r w:rsidRPr="00CC7BC3">
        <w:fldChar w:fldCharType="end"/>
      </w:r>
      <w:bookmarkEnd w:id="3"/>
      <w:r w:rsidRPr="00CC7BC3">
        <w:t xml:space="preserve"> </w:t>
      </w:r>
      <w:r w:rsidR="00C77BFC" w:rsidRPr="00CC7BC3">
        <w:rPr>
          <w:b w:val="0"/>
        </w:rPr>
        <w:t>Precoding</w:t>
      </w:r>
      <w:r w:rsidRPr="00CC7BC3">
        <w:rPr>
          <w:b w:val="0"/>
        </w:rPr>
        <w:t xml:space="preserve"> and </w:t>
      </w:r>
      <w:r w:rsidR="00C77BFC" w:rsidRPr="00CC7BC3">
        <w:rPr>
          <w:b w:val="0"/>
        </w:rPr>
        <w:t>precoder cycling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690"/>
        <w:gridCol w:w="3717"/>
      </w:tblGrid>
      <w:tr w:rsidR="00D82B0E" w14:paraId="602D06B5" w14:textId="77777777" w:rsidTr="00486849">
        <w:tc>
          <w:tcPr>
            <w:tcW w:w="2448" w:type="dxa"/>
            <w:shd w:val="clear" w:color="auto" w:fill="FFC000"/>
          </w:tcPr>
          <w:p w14:paraId="2F31DF50" w14:textId="77777777" w:rsidR="00D82B0E" w:rsidRPr="007321FF" w:rsidRDefault="00D82B0E" w:rsidP="007321FF">
            <w:pPr>
              <w:spacing w:after="0"/>
              <w:rPr>
                <w:rFonts w:ascii="Calibri" w:hAnsi="Calibri"/>
                <w:b/>
              </w:rPr>
            </w:pPr>
            <w:r w:rsidRPr="007321FF">
              <w:rPr>
                <w:rFonts w:ascii="Calibri" w:hAnsi="Calibri"/>
                <w:b/>
              </w:rPr>
              <w:t>System aspect</w:t>
            </w:r>
          </w:p>
        </w:tc>
        <w:tc>
          <w:tcPr>
            <w:tcW w:w="3690" w:type="dxa"/>
            <w:shd w:val="clear" w:color="auto" w:fill="FFC000"/>
          </w:tcPr>
          <w:p w14:paraId="2750D15D" w14:textId="332F3E90" w:rsidR="00D82B0E" w:rsidRPr="007321FF" w:rsidRDefault="00836B39" w:rsidP="007321FF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TS 1</w:t>
            </w:r>
          </w:p>
        </w:tc>
        <w:tc>
          <w:tcPr>
            <w:tcW w:w="3717" w:type="dxa"/>
            <w:shd w:val="clear" w:color="auto" w:fill="FFC000"/>
          </w:tcPr>
          <w:p w14:paraId="627C9355" w14:textId="63B285C3" w:rsidR="00D82B0E" w:rsidRPr="007321FF" w:rsidRDefault="00836B39" w:rsidP="007321FF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TS 2</w:t>
            </w:r>
          </w:p>
        </w:tc>
      </w:tr>
      <w:tr w:rsidR="00D82B0E" w14:paraId="2D896E33" w14:textId="77777777" w:rsidTr="00486849">
        <w:tc>
          <w:tcPr>
            <w:tcW w:w="2448" w:type="dxa"/>
          </w:tcPr>
          <w:p w14:paraId="3A673DFF" w14:textId="50B9476B" w:rsidR="00D82B0E" w:rsidRPr="007321FF" w:rsidRDefault="00D82B0E" w:rsidP="00836B39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 xml:space="preserve">Max. </w:t>
            </w:r>
            <w:proofErr w:type="gramStart"/>
            <w:r w:rsidRPr="007321FF">
              <w:rPr>
                <w:rFonts w:ascii="Calibri" w:hAnsi="Calibri"/>
              </w:rPr>
              <w:t>no</w:t>
            </w:r>
            <w:proofErr w:type="gramEnd"/>
            <w:r w:rsidRPr="007321FF">
              <w:rPr>
                <w:rFonts w:ascii="Calibri" w:hAnsi="Calibri"/>
              </w:rPr>
              <w:t>. DL layers per UE</w:t>
            </w:r>
            <w:r w:rsidR="00836B39">
              <w:rPr>
                <w:rFonts w:ascii="Calibri" w:hAnsi="Calibri"/>
              </w:rPr>
              <w:t xml:space="preserve"> (per DL assignment)</w:t>
            </w:r>
          </w:p>
        </w:tc>
        <w:tc>
          <w:tcPr>
            <w:tcW w:w="3690" w:type="dxa"/>
          </w:tcPr>
          <w:p w14:paraId="25C23D39" w14:textId="77777777" w:rsidR="00D82B0E" w:rsidRPr="00AC76CF" w:rsidRDefault="00D82B0E" w:rsidP="00D82B0E">
            <w:pPr>
              <w:spacing w:after="0"/>
              <w:rPr>
                <w:rFonts w:ascii="Calibri" w:hAnsi="Calibri"/>
                <w:b/>
              </w:rPr>
            </w:pPr>
            <w:r w:rsidRPr="00AC76CF">
              <w:rPr>
                <w:rFonts w:ascii="Calibri" w:hAnsi="Calibri"/>
                <w:b/>
              </w:rPr>
              <w:t>8</w:t>
            </w:r>
          </w:p>
        </w:tc>
        <w:tc>
          <w:tcPr>
            <w:tcW w:w="3717" w:type="dxa"/>
          </w:tcPr>
          <w:p w14:paraId="27B38887" w14:textId="52C284B9" w:rsidR="00D82B0E" w:rsidRPr="00AC76CF" w:rsidRDefault="00D82B0E" w:rsidP="00D82B0E">
            <w:pPr>
              <w:spacing w:after="0"/>
              <w:rPr>
                <w:rFonts w:ascii="Calibri" w:hAnsi="Calibri"/>
                <w:b/>
              </w:rPr>
            </w:pPr>
            <w:r w:rsidRPr="00AC76CF">
              <w:rPr>
                <w:rFonts w:ascii="Calibri" w:hAnsi="Calibri"/>
                <w:b/>
              </w:rPr>
              <w:t>2</w:t>
            </w:r>
            <w:r w:rsidR="00836B39">
              <w:rPr>
                <w:rFonts w:ascii="Calibri" w:hAnsi="Calibri"/>
                <w:b/>
              </w:rPr>
              <w:t xml:space="preserve"> or 4</w:t>
            </w:r>
          </w:p>
        </w:tc>
      </w:tr>
      <w:tr w:rsidR="00D82B0E" w14:paraId="48ED4CE2" w14:textId="77777777" w:rsidTr="00486849">
        <w:tc>
          <w:tcPr>
            <w:tcW w:w="2448" w:type="dxa"/>
          </w:tcPr>
          <w:p w14:paraId="0C555520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lastRenderedPageBreak/>
              <w:t>Data transmission using</w:t>
            </w:r>
          </w:p>
        </w:tc>
        <w:tc>
          <w:tcPr>
            <w:tcW w:w="3690" w:type="dxa"/>
          </w:tcPr>
          <w:p w14:paraId="40AF61C0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One directional beam</w:t>
            </w:r>
          </w:p>
        </w:tc>
        <w:tc>
          <w:tcPr>
            <w:tcW w:w="3717" w:type="dxa"/>
          </w:tcPr>
          <w:p w14:paraId="2345D446" w14:textId="6EF5B37A" w:rsidR="00D82B0E" w:rsidRPr="007321FF" w:rsidRDefault="00D82B0E" w:rsidP="00C974AF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 xml:space="preserve">A group of beams </w:t>
            </w:r>
            <w:r w:rsidR="00C974AF">
              <w:rPr>
                <w:rFonts w:ascii="Calibri" w:hAnsi="Calibri"/>
              </w:rPr>
              <w:t xml:space="preserve">cycled </w:t>
            </w:r>
            <w:r w:rsidRPr="007321FF">
              <w:rPr>
                <w:rFonts w:ascii="Calibri" w:hAnsi="Calibri"/>
              </w:rPr>
              <w:t>in frequency domain</w:t>
            </w:r>
            <w:r w:rsidR="00836B39">
              <w:rPr>
                <w:rFonts w:ascii="Calibri" w:hAnsi="Calibri"/>
              </w:rPr>
              <w:t xml:space="preserve"> (precoder cycling)</w:t>
            </w:r>
          </w:p>
        </w:tc>
      </w:tr>
      <w:tr w:rsidR="00D82B0E" w14:paraId="34530E2F" w14:textId="77777777" w:rsidTr="00486849">
        <w:tc>
          <w:tcPr>
            <w:tcW w:w="2448" w:type="dxa"/>
          </w:tcPr>
          <w:p w14:paraId="52AB5091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Precoder-related feedback</w:t>
            </w:r>
          </w:p>
        </w:tc>
        <w:tc>
          <w:tcPr>
            <w:tcW w:w="3690" w:type="dxa"/>
          </w:tcPr>
          <w:p w14:paraId="113EBC0C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Short-term and long-term</w:t>
            </w:r>
            <w:r w:rsidR="00FF29BA">
              <w:rPr>
                <w:rFonts w:ascii="Calibri" w:hAnsi="Calibri"/>
              </w:rPr>
              <w:t>, wideband and subband reporting can be supported</w:t>
            </w:r>
          </w:p>
        </w:tc>
        <w:tc>
          <w:tcPr>
            <w:tcW w:w="3717" w:type="dxa"/>
          </w:tcPr>
          <w:p w14:paraId="2EC0C505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Long-term</w:t>
            </w:r>
            <w:r w:rsidR="00FF29BA">
              <w:rPr>
                <w:rFonts w:ascii="Calibri" w:hAnsi="Calibri"/>
              </w:rPr>
              <w:t xml:space="preserve"> and wideband reporting </w:t>
            </w:r>
          </w:p>
        </w:tc>
      </w:tr>
    </w:tbl>
    <w:p w14:paraId="53BBEF0C" w14:textId="77777777" w:rsidR="00B9165C" w:rsidRDefault="00B9165C" w:rsidP="00344C8F">
      <w:pPr>
        <w:spacing w:before="60" w:after="60" w:line="288" w:lineRule="auto"/>
        <w:jc w:val="both"/>
        <w:rPr>
          <w:b/>
          <w:i/>
          <w:u w:val="single"/>
        </w:rPr>
      </w:pPr>
    </w:p>
    <w:p w14:paraId="7E8E30C1" w14:textId="4497D482" w:rsidR="00A5251F" w:rsidRPr="00CC7BC3" w:rsidRDefault="00B9165C" w:rsidP="00344C8F">
      <w:pPr>
        <w:spacing w:before="60" w:after="60" w:line="288" w:lineRule="auto"/>
        <w:jc w:val="both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="00E803D4">
        <w:rPr>
          <w:i/>
        </w:rPr>
        <w:t xml:space="preserve"> </w:t>
      </w:r>
      <w:r w:rsidR="00A5251F">
        <w:rPr>
          <w:i/>
        </w:rPr>
        <w:t xml:space="preserve">NR supports transmission scheme </w:t>
      </w:r>
      <w:r w:rsidR="004070D1">
        <w:rPr>
          <w:i/>
        </w:rPr>
        <w:t xml:space="preserve">(TS) </w:t>
      </w:r>
      <w:r w:rsidR="00A5251F">
        <w:rPr>
          <w:i/>
        </w:rPr>
        <w:t>1 and 2</w:t>
      </w:r>
      <w:r w:rsidR="00344C8F" w:rsidRPr="00A5251F">
        <w:rPr>
          <w:i/>
        </w:rPr>
        <w:t xml:space="preserve"> </w:t>
      </w:r>
      <w:r w:rsidR="004102F0" w:rsidRPr="00A5251F">
        <w:rPr>
          <w:i/>
        </w:rPr>
        <w:t xml:space="preserve">as described </w:t>
      </w:r>
      <w:r w:rsidR="004102F0" w:rsidRPr="00CC7BC3">
        <w:rPr>
          <w:i/>
        </w:rPr>
        <w:t xml:space="preserve">in </w:t>
      </w:r>
      <w:r w:rsidR="004102F0" w:rsidRPr="00CC7BC3">
        <w:rPr>
          <w:i/>
        </w:rPr>
        <w:fldChar w:fldCharType="begin"/>
      </w:r>
      <w:r w:rsidR="004102F0" w:rsidRPr="00CC7BC3">
        <w:rPr>
          <w:i/>
        </w:rPr>
        <w:instrText xml:space="preserve"> REF _Ref446633766 \h </w:instrText>
      </w:r>
      <w:r w:rsidR="00A5251F" w:rsidRPr="00CC7BC3">
        <w:rPr>
          <w:i/>
        </w:rPr>
        <w:instrText xml:space="preserve"> \* MERGEFORMAT </w:instrText>
      </w:r>
      <w:r w:rsidR="004102F0" w:rsidRPr="00CC7BC3">
        <w:rPr>
          <w:i/>
        </w:rPr>
      </w:r>
      <w:r w:rsidR="004102F0" w:rsidRPr="00CC7BC3">
        <w:rPr>
          <w:i/>
        </w:rPr>
        <w:fldChar w:fldCharType="separate"/>
      </w:r>
      <w:r w:rsidR="00A5251F" w:rsidRPr="00CC7BC3">
        <w:rPr>
          <w:i/>
        </w:rPr>
        <w:t xml:space="preserve">Table </w:t>
      </w:r>
      <w:r w:rsidR="00A5251F" w:rsidRPr="00CC7BC3">
        <w:rPr>
          <w:i/>
          <w:noProof/>
        </w:rPr>
        <w:t>1</w:t>
      </w:r>
      <w:r w:rsidR="004102F0" w:rsidRPr="00CC7BC3">
        <w:rPr>
          <w:i/>
        </w:rPr>
        <w:fldChar w:fldCharType="end"/>
      </w:r>
    </w:p>
    <w:p w14:paraId="46B33F88" w14:textId="15A70C84" w:rsidR="00056759" w:rsidRDefault="004070D1" w:rsidP="00A5251F">
      <w:pPr>
        <w:pStyle w:val="ListParagraph"/>
        <w:numPr>
          <w:ilvl w:val="0"/>
          <w:numId w:val="34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</w:t>
      </w:r>
      <w:r w:rsidR="00A5251F">
        <w:rPr>
          <w:i/>
        </w:rPr>
        <w:t xml:space="preserve"> 2 utilizes precoder cycling in frequency domain</w:t>
      </w:r>
    </w:p>
    <w:p w14:paraId="45733517" w14:textId="20E13E6B" w:rsidR="00CC7BC3" w:rsidRPr="00A5251F" w:rsidRDefault="00CC7BC3" w:rsidP="00A5251F">
      <w:pPr>
        <w:pStyle w:val="ListParagraph"/>
        <w:numPr>
          <w:ilvl w:val="0"/>
          <w:numId w:val="34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other transmission scheme is supported, at least for DL data transmission </w:t>
      </w:r>
    </w:p>
    <w:p w14:paraId="41860DB4" w14:textId="77777777" w:rsidR="00BB1050" w:rsidRDefault="00BB1050" w:rsidP="00CC7BC3">
      <w:pPr>
        <w:snapToGrid w:val="0"/>
        <w:spacing w:before="60" w:after="60" w:line="288" w:lineRule="auto"/>
        <w:jc w:val="both"/>
      </w:pPr>
    </w:p>
    <w:p w14:paraId="18B248F2" w14:textId="77777777" w:rsidR="003D3E2E" w:rsidRPr="00D83131" w:rsidRDefault="003D3E2E" w:rsidP="002958FD">
      <w:pPr>
        <w:pStyle w:val="Heading1"/>
        <w:rPr>
          <w:sz w:val="28"/>
        </w:rPr>
      </w:pPr>
      <w:bookmarkStart w:id="5" w:name="_Ref446598642"/>
      <w:r w:rsidRPr="00D83131">
        <w:rPr>
          <w:rFonts w:hint="eastAsia"/>
          <w:sz w:val="28"/>
        </w:rPr>
        <w:t>Conclusions</w:t>
      </w:r>
      <w:bookmarkEnd w:id="5"/>
    </w:p>
    <w:p w14:paraId="605FF8C6" w14:textId="26CB44CE" w:rsidR="0079104B" w:rsidRDefault="00E468B7" w:rsidP="009D6078">
      <w:pPr>
        <w:pStyle w:val="2222"/>
        <w:spacing w:after="12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C01E65">
        <w:rPr>
          <w:lang w:eastAsia="ko-KR"/>
        </w:rPr>
        <w:t xml:space="preserve">on </w:t>
      </w:r>
      <w:r w:rsidR="004C741E">
        <w:rPr>
          <w:lang w:eastAsia="ko-KR"/>
        </w:rPr>
        <w:t>DL</w:t>
      </w:r>
      <w:r w:rsidR="00C01E65">
        <w:rPr>
          <w:lang w:eastAsia="ko-KR"/>
        </w:rPr>
        <w:t xml:space="preserve"> DMRS-spatial multiplexing</w:t>
      </w:r>
      <w:r>
        <w:rPr>
          <w:lang w:eastAsia="ko-KR"/>
        </w:rPr>
        <w:t xml:space="preserve"> is presented. </w:t>
      </w:r>
      <w:r w:rsidR="003A2054">
        <w:rPr>
          <w:lang w:eastAsia="ko-KR"/>
        </w:rPr>
        <w:t>O</w:t>
      </w:r>
      <w:r>
        <w:rPr>
          <w:lang w:eastAsia="ko-KR"/>
        </w:rPr>
        <w:t>ur</w:t>
      </w:r>
      <w:r w:rsidR="00E803D4">
        <w:rPr>
          <w:lang w:eastAsia="ko-KR"/>
        </w:rPr>
        <w:t xml:space="preserve"> </w:t>
      </w:r>
      <w:r w:rsidR="00E803D4" w:rsidRPr="0079104B">
        <w:rPr>
          <w:b/>
          <w:u w:val="single"/>
          <w:lang w:eastAsia="ko-KR"/>
        </w:rPr>
        <w:t>proposal</w:t>
      </w:r>
      <w:r w:rsidR="00E803D4">
        <w:rPr>
          <w:lang w:eastAsia="ko-KR"/>
        </w:rPr>
        <w:t xml:space="preserve"> can be summarized as follows:</w:t>
      </w:r>
      <w:r>
        <w:rPr>
          <w:lang w:eastAsia="ko-KR"/>
        </w:rPr>
        <w:t xml:space="preserve"> </w:t>
      </w:r>
    </w:p>
    <w:p w14:paraId="096AF655" w14:textId="77777777" w:rsidR="00CC7BC3" w:rsidRDefault="00CC7BC3" w:rsidP="00CC7BC3">
      <w:pPr>
        <w:pStyle w:val="maintext"/>
        <w:numPr>
          <w:ilvl w:val="0"/>
          <w:numId w:val="35"/>
        </w:numPr>
        <w:snapToGrid w:val="0"/>
        <w:ind w:firstLineChars="0"/>
        <w:rPr>
          <w:i/>
        </w:rPr>
      </w:pPr>
      <w:r w:rsidRPr="002E2CD9">
        <w:rPr>
          <w:i/>
        </w:rPr>
        <w:t xml:space="preserve">Remove the </w:t>
      </w:r>
      <w:r>
        <w:rPr>
          <w:i/>
        </w:rPr>
        <w:t xml:space="preserve">misleading </w:t>
      </w:r>
      <w:r w:rsidRPr="002E2CD9">
        <w:rPr>
          <w:i/>
        </w:rPr>
        <w:t xml:space="preserve">association between Scheme 1/2 and ‘closed-loop’/’open-loop’/’semi-open-loop’ and </w:t>
      </w:r>
      <w:r>
        <w:rPr>
          <w:i/>
        </w:rPr>
        <w:t xml:space="preserve">simplify </w:t>
      </w:r>
      <w:r w:rsidRPr="002E2CD9">
        <w:rPr>
          <w:i/>
        </w:rPr>
        <w:t>the description</w:t>
      </w:r>
      <w:r>
        <w:rPr>
          <w:i/>
        </w:rPr>
        <w:t xml:space="preserve"> as follows</w:t>
      </w:r>
      <w:r w:rsidRPr="002E2CD9">
        <w:rPr>
          <w:i/>
        </w:rPr>
        <w:t>:</w:t>
      </w:r>
    </w:p>
    <w:p w14:paraId="6778E32F" w14:textId="77777777" w:rsidR="00CC7BC3" w:rsidRPr="002E2CD9" w:rsidRDefault="00CC7BC3" w:rsidP="00CC7BC3">
      <w:pPr>
        <w:pStyle w:val="maintext"/>
        <w:numPr>
          <w:ilvl w:val="1"/>
          <w:numId w:val="25"/>
        </w:numPr>
        <w:snapToGrid w:val="0"/>
        <w:ind w:firstLineChars="0"/>
        <w:rPr>
          <w:i/>
        </w:rPr>
      </w:pPr>
      <w:r w:rsidRPr="002E2CD9">
        <w:rPr>
          <w:i/>
        </w:rPr>
        <w:t xml:space="preserve">Transmission scheme 1 (TS 1): </w:t>
      </w:r>
      <w:r w:rsidRPr="002E2CD9">
        <w:rPr>
          <w:rFonts w:eastAsia="MS Mincho"/>
          <w:i/>
          <w:iCs/>
          <w:lang w:val="en-US" w:eastAsia="ja-JP"/>
        </w:rPr>
        <w:t>data and DMRS are transmitted with the same precoding matrix</w:t>
      </w:r>
    </w:p>
    <w:p w14:paraId="23B066C8" w14:textId="77777777" w:rsidR="00CC7BC3" w:rsidRPr="002E2CD9" w:rsidRDefault="00CC7BC3" w:rsidP="00CC7BC3">
      <w:pPr>
        <w:pStyle w:val="maintext"/>
        <w:numPr>
          <w:ilvl w:val="2"/>
          <w:numId w:val="25"/>
        </w:numPr>
        <w:snapToGrid w:val="0"/>
        <w:ind w:firstLineChars="0"/>
        <w:rPr>
          <w:i/>
        </w:rPr>
      </w:pPr>
      <w:r w:rsidRPr="002E2CD9">
        <w:rPr>
          <w:rFonts w:eastAsia="MS Mincho"/>
          <w:i/>
          <w:iCs/>
          <w:lang w:val="en-US" w:eastAsia="ja-JP"/>
        </w:rPr>
        <w:t>Demodulation of data at the UE does not require knowledge of the precoding matrix used at the transmitter</w:t>
      </w:r>
    </w:p>
    <w:p w14:paraId="4163BEED" w14:textId="77777777" w:rsidR="00CC7BC3" w:rsidRPr="002E2CD9" w:rsidRDefault="00CC7BC3" w:rsidP="00CC7BC3">
      <w:pPr>
        <w:pStyle w:val="maintext"/>
        <w:numPr>
          <w:ilvl w:val="1"/>
          <w:numId w:val="25"/>
        </w:numPr>
        <w:snapToGrid w:val="0"/>
        <w:ind w:firstLineChars="0"/>
        <w:rPr>
          <w:i/>
        </w:rPr>
      </w:pPr>
      <w:r w:rsidRPr="002E2CD9">
        <w:rPr>
          <w:i/>
        </w:rPr>
        <w:t xml:space="preserve">Transmission scheme 2 (TS 2): </w:t>
      </w:r>
      <w:r>
        <w:rPr>
          <w:i/>
        </w:rPr>
        <w:t xml:space="preserve">diversity-based scheme where </w:t>
      </w:r>
      <w:r w:rsidRPr="002E2CD9">
        <w:rPr>
          <w:rFonts w:eastAsia="MS Mincho"/>
          <w:i/>
          <w:iCs/>
          <w:lang w:val="en-US" w:eastAsia="ja-JP"/>
        </w:rPr>
        <w:t>data and DMRS may or may not be restricted to be transmitted with the same precoding matrix</w:t>
      </w:r>
    </w:p>
    <w:p w14:paraId="2AA073C0" w14:textId="77777777" w:rsidR="00CC7BC3" w:rsidRPr="002E2CD9" w:rsidRDefault="00CC7BC3" w:rsidP="00CC7BC3">
      <w:pPr>
        <w:numPr>
          <w:ilvl w:val="2"/>
          <w:numId w:val="25"/>
        </w:numPr>
        <w:snapToGrid w:val="0"/>
        <w:spacing w:before="60" w:after="60" w:line="288" w:lineRule="auto"/>
        <w:jc w:val="both"/>
        <w:rPr>
          <w:rFonts w:eastAsia="MS Mincho"/>
          <w:i/>
          <w:iCs/>
          <w:lang w:val="en-US" w:eastAsia="ja-JP"/>
        </w:rPr>
      </w:pPr>
      <w:r w:rsidRPr="002E2CD9">
        <w:rPr>
          <w:rFonts w:eastAsia="MS Mincho"/>
          <w:i/>
          <w:iCs/>
          <w:lang w:val="en-US" w:eastAsia="ja-JP"/>
        </w:rPr>
        <w:t>Demodulation of data at the UE may or may not require knowledge of the relation between DMRS ports and data layers</w:t>
      </w:r>
    </w:p>
    <w:p w14:paraId="743D85B3" w14:textId="539FA158" w:rsidR="00CC7BC3" w:rsidRPr="00CC7BC3" w:rsidRDefault="00CC7BC3" w:rsidP="00CC7BC3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CC7BC3">
        <w:rPr>
          <w:i/>
        </w:rPr>
        <w:t>NR supports transmission scheme</w:t>
      </w:r>
      <w:r>
        <w:rPr>
          <w:i/>
        </w:rPr>
        <w:t xml:space="preserve"> (TS)</w:t>
      </w:r>
      <w:r w:rsidRPr="00CC7BC3">
        <w:rPr>
          <w:i/>
        </w:rPr>
        <w:t xml:space="preserve"> 1 and 2 as described in </w:t>
      </w:r>
      <w:r w:rsidRPr="00CC7BC3">
        <w:rPr>
          <w:i/>
        </w:rPr>
        <w:fldChar w:fldCharType="begin"/>
      </w:r>
      <w:r w:rsidRPr="00CC7BC3">
        <w:rPr>
          <w:i/>
        </w:rPr>
        <w:instrText xml:space="preserve"> REF _Ref446633766 \h  \* MERGEFORMAT </w:instrText>
      </w:r>
      <w:r w:rsidRPr="00CC7BC3">
        <w:rPr>
          <w:i/>
        </w:rPr>
      </w:r>
      <w:r w:rsidRPr="00CC7BC3">
        <w:rPr>
          <w:i/>
        </w:rPr>
        <w:fldChar w:fldCharType="separate"/>
      </w:r>
      <w:r w:rsidRPr="00CC7BC3">
        <w:rPr>
          <w:i/>
        </w:rPr>
        <w:t xml:space="preserve">Table </w:t>
      </w:r>
      <w:r w:rsidRPr="00CC7BC3">
        <w:rPr>
          <w:i/>
          <w:noProof/>
        </w:rPr>
        <w:t>1</w:t>
      </w:r>
      <w:r w:rsidRPr="00CC7BC3">
        <w:rPr>
          <w:i/>
        </w:rPr>
        <w:fldChar w:fldCharType="end"/>
      </w:r>
    </w:p>
    <w:p w14:paraId="773F292C" w14:textId="722984DE" w:rsidR="00CC7BC3" w:rsidRDefault="00CC7BC3" w:rsidP="00CC7BC3">
      <w:pPr>
        <w:pStyle w:val="ListParagraph"/>
        <w:numPr>
          <w:ilvl w:val="1"/>
          <w:numId w:val="34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 2 utilizes precoder cycling in frequency domain</w:t>
      </w:r>
    </w:p>
    <w:p w14:paraId="4D1B74A5" w14:textId="77777777" w:rsidR="00CC7BC3" w:rsidRPr="00A5251F" w:rsidRDefault="00CC7BC3" w:rsidP="00CC7BC3">
      <w:pPr>
        <w:pStyle w:val="ListParagraph"/>
        <w:numPr>
          <w:ilvl w:val="1"/>
          <w:numId w:val="34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other transmission scheme is supported, at least for DL data transmission </w:t>
      </w:r>
    </w:p>
    <w:p w14:paraId="3D321EF9" w14:textId="77777777" w:rsidR="00C55EE9" w:rsidRPr="00E468B7" w:rsidRDefault="00C55EE9" w:rsidP="00C55EE9">
      <w:pPr>
        <w:pStyle w:val="2222"/>
        <w:spacing w:after="120" w:line="288" w:lineRule="auto"/>
        <w:ind w:left="720" w:firstLineChars="0" w:firstLine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bookmarkStart w:id="6" w:name="_GoBack"/>
      <w:bookmarkEnd w:id="6"/>
    </w:p>
    <w:p w14:paraId="549887AC" w14:textId="22996007" w:rsidR="00296E64" w:rsidRPr="00557FA2" w:rsidRDefault="00C23330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58614461"/>
      <w:r w:rsidRPr="00557FA2">
        <w:rPr>
          <w:rFonts w:cs="Times New Roman"/>
          <w:lang w:eastAsia="ko-KR"/>
        </w:rPr>
        <w:t>3GPP, RAN1#8</w:t>
      </w:r>
      <w:r w:rsidR="00094612" w:rsidRPr="00557FA2">
        <w:rPr>
          <w:rFonts w:cs="Times New Roman"/>
          <w:lang w:eastAsia="ko-KR"/>
        </w:rPr>
        <w:t>7</w:t>
      </w:r>
      <w:r w:rsidR="008E7F97" w:rsidRPr="00557FA2">
        <w:rPr>
          <w:rFonts w:cs="Times New Roman"/>
          <w:lang w:eastAsia="ko-KR"/>
        </w:rPr>
        <w:t>, Chairman’s Notes</w:t>
      </w:r>
      <w:bookmarkEnd w:id="7"/>
    </w:p>
    <w:p w14:paraId="536793CA" w14:textId="1490AA92" w:rsidR="006966FF" w:rsidRPr="00557FA2" w:rsidRDefault="006966FF" w:rsidP="006966F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561479"/>
      <w:bookmarkStart w:id="9" w:name="_Ref471344200"/>
      <w:r w:rsidRPr="00557FA2">
        <w:rPr>
          <w:rFonts w:cs="Times New Roman"/>
          <w:lang w:eastAsia="ko-KR"/>
        </w:rPr>
        <w:t>R1-17</w:t>
      </w:r>
      <w:r w:rsidR="004A4B76" w:rsidRPr="00557FA2">
        <w:rPr>
          <w:rFonts w:cs="Times New Roman"/>
          <w:lang w:eastAsia="ko-KR"/>
        </w:rPr>
        <w:t>00908</w:t>
      </w:r>
      <w:r w:rsidR="00097817" w:rsidRPr="00557FA2">
        <w:rPr>
          <w:rFonts w:cs="Times New Roman"/>
          <w:lang w:eastAsia="ko-KR"/>
        </w:rPr>
        <w:t xml:space="preserve">, Samsung, </w:t>
      </w:r>
      <w:bookmarkEnd w:id="8"/>
      <w:r w:rsidR="00C23330" w:rsidRPr="00557FA2">
        <w:rPr>
          <w:rFonts w:cs="Times New Roman"/>
        </w:rPr>
        <w:t>CSI acquisition for DL NR MIMO</w:t>
      </w:r>
      <w:bookmarkStart w:id="10" w:name="_Ref463005536"/>
      <w:bookmarkEnd w:id="9"/>
    </w:p>
    <w:p w14:paraId="39CF5F6A" w14:textId="624F9128" w:rsidR="00051929" w:rsidRPr="00557FA2" w:rsidRDefault="00051929" w:rsidP="0005192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16"/>
          <w:lang w:eastAsia="ko-KR"/>
        </w:rPr>
      </w:pPr>
      <w:bookmarkStart w:id="11" w:name="_Ref471347461"/>
      <w:r w:rsidRPr="00557FA2">
        <w:rPr>
          <w:rFonts w:cs="Times New Roman"/>
          <w:lang w:eastAsia="ko-KR"/>
        </w:rPr>
        <w:t>R1-17</w:t>
      </w:r>
      <w:r w:rsidR="004A4B76" w:rsidRPr="00557FA2">
        <w:rPr>
          <w:rFonts w:cs="Times New Roman"/>
          <w:lang w:eastAsia="ko-KR"/>
        </w:rPr>
        <w:t>00897</w:t>
      </w:r>
      <w:r w:rsidRPr="00557FA2">
        <w:rPr>
          <w:rFonts w:cs="Times New Roman"/>
          <w:lang w:eastAsia="ko-KR"/>
        </w:rPr>
        <w:t xml:space="preserve">, Samsung, </w:t>
      </w:r>
      <w:r w:rsidRPr="00557FA2">
        <w:rPr>
          <w:rFonts w:cs="Times New Roman"/>
        </w:rPr>
        <w:t>DMRS-based spatial multiplexing for UL NR MIMO</w:t>
      </w:r>
      <w:bookmarkEnd w:id="11"/>
    </w:p>
    <w:p w14:paraId="42B31FB5" w14:textId="5F58627A" w:rsidR="00A56237" w:rsidRPr="00557FA2" w:rsidRDefault="004451A9" w:rsidP="006966F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71347520"/>
      <w:r w:rsidRPr="00557FA2">
        <w:rPr>
          <w:rFonts w:cs="Times New Roman"/>
        </w:rPr>
        <w:t>R1-1</w:t>
      </w:r>
      <w:r w:rsidR="006966FF" w:rsidRPr="00557FA2">
        <w:rPr>
          <w:rFonts w:cs="Times New Roman"/>
        </w:rPr>
        <w:t>7</w:t>
      </w:r>
      <w:r w:rsidR="00557FA2" w:rsidRPr="00557FA2">
        <w:rPr>
          <w:rFonts w:cs="Times New Roman"/>
        </w:rPr>
        <w:t>00900</w:t>
      </w:r>
      <w:r w:rsidRPr="00557FA2">
        <w:rPr>
          <w:rFonts w:cs="Times New Roman"/>
        </w:rPr>
        <w:t xml:space="preserve">, Samsung, </w:t>
      </w:r>
      <w:bookmarkEnd w:id="10"/>
      <w:r w:rsidR="006966FF" w:rsidRPr="00557FA2">
        <w:rPr>
          <w:rFonts w:cs="Times New Roman"/>
          <w:lang w:eastAsia="ko-KR"/>
        </w:rPr>
        <w:t>Discussions on open- and semi-open-loop transmissions for NR</w:t>
      </w:r>
      <w:bookmarkEnd w:id="12"/>
    </w:p>
    <w:p w14:paraId="782294B9" w14:textId="203795BF" w:rsidR="002B3B3B" w:rsidRP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2B3B3B" w:rsidRPr="002B3B3B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47AB2" w15:done="0"/>
  <w15:commentEx w15:paraId="1182FD6E" w15:done="0"/>
  <w15:commentEx w15:paraId="48FA6E09" w15:done="0"/>
  <w15:commentEx w15:paraId="275A43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F36F1" w14:textId="77777777" w:rsidR="00817F06" w:rsidRDefault="00817F06">
      <w:r>
        <w:separator/>
      </w:r>
    </w:p>
  </w:endnote>
  <w:endnote w:type="continuationSeparator" w:id="0">
    <w:p w14:paraId="49C6707F" w14:textId="77777777" w:rsidR="00817F06" w:rsidRDefault="0081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CA632" w14:textId="77777777" w:rsidR="00817F06" w:rsidRDefault="00817F06">
      <w:r>
        <w:separator/>
      </w:r>
    </w:p>
  </w:footnote>
  <w:footnote w:type="continuationSeparator" w:id="0">
    <w:p w14:paraId="091A9601" w14:textId="77777777" w:rsidR="00817F06" w:rsidRDefault="00817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0793E06"/>
    <w:multiLevelType w:val="hybridMultilevel"/>
    <w:tmpl w:val="377E69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3D257397"/>
    <w:multiLevelType w:val="hybridMultilevel"/>
    <w:tmpl w:val="54BE52EC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2394E"/>
    <w:multiLevelType w:val="hybridMultilevel"/>
    <w:tmpl w:val="40BCD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51908EE"/>
    <w:multiLevelType w:val="hybridMultilevel"/>
    <w:tmpl w:val="654810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4F217117"/>
    <w:multiLevelType w:val="hybridMultilevel"/>
    <w:tmpl w:val="61F2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>
    <w:nsid w:val="5221052D"/>
    <w:multiLevelType w:val="hybridMultilevel"/>
    <w:tmpl w:val="764CA7EC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469139A"/>
    <w:multiLevelType w:val="hybridMultilevel"/>
    <w:tmpl w:val="62AC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E92643"/>
    <w:multiLevelType w:val="hybridMultilevel"/>
    <w:tmpl w:val="83E2E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C861C8"/>
    <w:multiLevelType w:val="hybridMultilevel"/>
    <w:tmpl w:val="027E0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F84E22"/>
    <w:multiLevelType w:val="hybridMultilevel"/>
    <w:tmpl w:val="8AB6D93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8845BA3"/>
    <w:multiLevelType w:val="hybridMultilevel"/>
    <w:tmpl w:val="A030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C44380"/>
    <w:multiLevelType w:val="hybridMultilevel"/>
    <w:tmpl w:val="9FC257C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34"/>
  </w:num>
  <w:num w:numId="5">
    <w:abstractNumId w:val="3"/>
  </w:num>
  <w:num w:numId="6">
    <w:abstractNumId w:val="28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0"/>
  </w:num>
  <w:num w:numId="13">
    <w:abstractNumId w:val="8"/>
  </w:num>
  <w:num w:numId="14">
    <w:abstractNumId w:val="4"/>
  </w:num>
  <w:num w:numId="15">
    <w:abstractNumId w:val="9"/>
  </w:num>
  <w:num w:numId="16">
    <w:abstractNumId w:val="15"/>
  </w:num>
  <w:num w:numId="17">
    <w:abstractNumId w:val="18"/>
  </w:num>
  <w:num w:numId="18">
    <w:abstractNumId w:val="10"/>
  </w:num>
  <w:num w:numId="19">
    <w:abstractNumId w:val="5"/>
  </w:num>
  <w:num w:numId="20">
    <w:abstractNumId w:val="6"/>
  </w:num>
  <w:num w:numId="21">
    <w:abstractNumId w:val="2"/>
  </w:num>
  <w:num w:numId="22">
    <w:abstractNumId w:val="16"/>
  </w:num>
  <w:num w:numId="23">
    <w:abstractNumId w:val="25"/>
  </w:num>
  <w:num w:numId="24">
    <w:abstractNumId w:val="32"/>
  </w:num>
  <w:num w:numId="25">
    <w:abstractNumId w:val="22"/>
  </w:num>
  <w:num w:numId="26">
    <w:abstractNumId w:val="23"/>
  </w:num>
  <w:num w:numId="27">
    <w:abstractNumId w:val="14"/>
  </w:num>
  <w:num w:numId="28">
    <w:abstractNumId w:val="21"/>
  </w:num>
  <w:num w:numId="29">
    <w:abstractNumId w:val="19"/>
  </w:num>
  <w:num w:numId="30">
    <w:abstractNumId w:val="1"/>
  </w:num>
  <w:num w:numId="31">
    <w:abstractNumId w:val="17"/>
  </w:num>
  <w:num w:numId="32">
    <w:abstractNumId w:val="33"/>
  </w:num>
  <w:num w:numId="33">
    <w:abstractNumId w:val="29"/>
  </w:num>
  <w:num w:numId="34">
    <w:abstractNumId w:val="26"/>
  </w:num>
  <w:num w:numId="35">
    <w:abstractNumId w:val="3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4BD"/>
    <w:rsid w:val="00030EA8"/>
    <w:rsid w:val="00032854"/>
    <w:rsid w:val="000375ED"/>
    <w:rsid w:val="0004152C"/>
    <w:rsid w:val="00045082"/>
    <w:rsid w:val="00046AB8"/>
    <w:rsid w:val="00046EDE"/>
    <w:rsid w:val="0005019A"/>
    <w:rsid w:val="00051929"/>
    <w:rsid w:val="00051AFF"/>
    <w:rsid w:val="00052776"/>
    <w:rsid w:val="00053930"/>
    <w:rsid w:val="000543C0"/>
    <w:rsid w:val="000551A1"/>
    <w:rsid w:val="00055EC9"/>
    <w:rsid w:val="00056759"/>
    <w:rsid w:val="00056B06"/>
    <w:rsid w:val="00057250"/>
    <w:rsid w:val="00057CB5"/>
    <w:rsid w:val="00060151"/>
    <w:rsid w:val="0006267E"/>
    <w:rsid w:val="000627C6"/>
    <w:rsid w:val="000637E2"/>
    <w:rsid w:val="00063AC6"/>
    <w:rsid w:val="00065630"/>
    <w:rsid w:val="0007119C"/>
    <w:rsid w:val="00072453"/>
    <w:rsid w:val="00073C42"/>
    <w:rsid w:val="000755B5"/>
    <w:rsid w:val="00076FF5"/>
    <w:rsid w:val="000775AB"/>
    <w:rsid w:val="000818CE"/>
    <w:rsid w:val="00082BD8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612"/>
    <w:rsid w:val="00094B22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D7C27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FD0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E87"/>
    <w:rsid w:val="00193A04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7AC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09C1"/>
    <w:rsid w:val="0021177B"/>
    <w:rsid w:val="002128BC"/>
    <w:rsid w:val="0021354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08CB"/>
    <w:rsid w:val="00242798"/>
    <w:rsid w:val="002428B8"/>
    <w:rsid w:val="00242921"/>
    <w:rsid w:val="00244EF2"/>
    <w:rsid w:val="00245C3D"/>
    <w:rsid w:val="002469F1"/>
    <w:rsid w:val="0024758D"/>
    <w:rsid w:val="00250531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8FD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2CD9"/>
    <w:rsid w:val="002E315D"/>
    <w:rsid w:val="002E333E"/>
    <w:rsid w:val="002E39D5"/>
    <w:rsid w:val="002E5EC2"/>
    <w:rsid w:val="002E60AB"/>
    <w:rsid w:val="002F00C5"/>
    <w:rsid w:val="002F28D8"/>
    <w:rsid w:val="002F3585"/>
    <w:rsid w:val="002F47AD"/>
    <w:rsid w:val="002F492E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23AC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4C8F"/>
    <w:rsid w:val="00345DEA"/>
    <w:rsid w:val="003476A1"/>
    <w:rsid w:val="003514CD"/>
    <w:rsid w:val="0035185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F49"/>
    <w:rsid w:val="0038352B"/>
    <w:rsid w:val="003853BC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2054"/>
    <w:rsid w:val="003A4806"/>
    <w:rsid w:val="003A5945"/>
    <w:rsid w:val="003A69C3"/>
    <w:rsid w:val="003A730C"/>
    <w:rsid w:val="003B0AC6"/>
    <w:rsid w:val="003B3227"/>
    <w:rsid w:val="003B33FB"/>
    <w:rsid w:val="003B7124"/>
    <w:rsid w:val="003B784F"/>
    <w:rsid w:val="003C0353"/>
    <w:rsid w:val="003C13C6"/>
    <w:rsid w:val="003C1756"/>
    <w:rsid w:val="003C1E94"/>
    <w:rsid w:val="003C2C5D"/>
    <w:rsid w:val="003C32F0"/>
    <w:rsid w:val="003C53D6"/>
    <w:rsid w:val="003C5A7F"/>
    <w:rsid w:val="003C5ABB"/>
    <w:rsid w:val="003C5BAF"/>
    <w:rsid w:val="003C5ED0"/>
    <w:rsid w:val="003C695C"/>
    <w:rsid w:val="003C73BB"/>
    <w:rsid w:val="003C748B"/>
    <w:rsid w:val="003D029B"/>
    <w:rsid w:val="003D1649"/>
    <w:rsid w:val="003D3265"/>
    <w:rsid w:val="003D35F7"/>
    <w:rsid w:val="003D3E2E"/>
    <w:rsid w:val="003D44EF"/>
    <w:rsid w:val="003D79CD"/>
    <w:rsid w:val="003E079D"/>
    <w:rsid w:val="003E0FEE"/>
    <w:rsid w:val="003E13E1"/>
    <w:rsid w:val="003E1753"/>
    <w:rsid w:val="003E2779"/>
    <w:rsid w:val="003E633B"/>
    <w:rsid w:val="003E783C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74D"/>
    <w:rsid w:val="00404B4A"/>
    <w:rsid w:val="00405213"/>
    <w:rsid w:val="0040633D"/>
    <w:rsid w:val="004070D1"/>
    <w:rsid w:val="004102F0"/>
    <w:rsid w:val="004105CA"/>
    <w:rsid w:val="004107E6"/>
    <w:rsid w:val="004154F5"/>
    <w:rsid w:val="00420853"/>
    <w:rsid w:val="00420F11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08D4"/>
    <w:rsid w:val="00432D00"/>
    <w:rsid w:val="00433134"/>
    <w:rsid w:val="00433489"/>
    <w:rsid w:val="004351C1"/>
    <w:rsid w:val="00436AEE"/>
    <w:rsid w:val="00437386"/>
    <w:rsid w:val="00440E60"/>
    <w:rsid w:val="0044110E"/>
    <w:rsid w:val="00441151"/>
    <w:rsid w:val="00442C0D"/>
    <w:rsid w:val="004430A5"/>
    <w:rsid w:val="004451A9"/>
    <w:rsid w:val="004471CE"/>
    <w:rsid w:val="00450C48"/>
    <w:rsid w:val="00452E54"/>
    <w:rsid w:val="004530DE"/>
    <w:rsid w:val="0045322C"/>
    <w:rsid w:val="004540F0"/>
    <w:rsid w:val="00454D22"/>
    <w:rsid w:val="00455E7A"/>
    <w:rsid w:val="00456F2C"/>
    <w:rsid w:val="00460970"/>
    <w:rsid w:val="00461C28"/>
    <w:rsid w:val="004624A3"/>
    <w:rsid w:val="00465F1F"/>
    <w:rsid w:val="0046666D"/>
    <w:rsid w:val="00467A29"/>
    <w:rsid w:val="0047010E"/>
    <w:rsid w:val="00470198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8F0"/>
    <w:rsid w:val="0047796F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4B76"/>
    <w:rsid w:val="004A5660"/>
    <w:rsid w:val="004A574A"/>
    <w:rsid w:val="004A5A2F"/>
    <w:rsid w:val="004A73B7"/>
    <w:rsid w:val="004B02A2"/>
    <w:rsid w:val="004B0763"/>
    <w:rsid w:val="004B0D87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41E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500034"/>
    <w:rsid w:val="00501E42"/>
    <w:rsid w:val="00502F63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1AD"/>
    <w:rsid w:val="0052348B"/>
    <w:rsid w:val="0052594C"/>
    <w:rsid w:val="00526A64"/>
    <w:rsid w:val="00526BC4"/>
    <w:rsid w:val="00526FD1"/>
    <w:rsid w:val="00527339"/>
    <w:rsid w:val="00527FA8"/>
    <w:rsid w:val="00531F4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57FA2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92"/>
    <w:rsid w:val="00592741"/>
    <w:rsid w:val="0059368B"/>
    <w:rsid w:val="00594308"/>
    <w:rsid w:val="00594AAF"/>
    <w:rsid w:val="00594DA2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661"/>
    <w:rsid w:val="005D2E17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1EB4"/>
    <w:rsid w:val="00642A83"/>
    <w:rsid w:val="00643083"/>
    <w:rsid w:val="006458B7"/>
    <w:rsid w:val="006458E7"/>
    <w:rsid w:val="00645E63"/>
    <w:rsid w:val="00646029"/>
    <w:rsid w:val="00647880"/>
    <w:rsid w:val="0065003C"/>
    <w:rsid w:val="006515BC"/>
    <w:rsid w:val="00651A61"/>
    <w:rsid w:val="006527CE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6FF"/>
    <w:rsid w:val="00696E55"/>
    <w:rsid w:val="006A0925"/>
    <w:rsid w:val="006A25EB"/>
    <w:rsid w:val="006A2D38"/>
    <w:rsid w:val="006A5C5C"/>
    <w:rsid w:val="006A6FAD"/>
    <w:rsid w:val="006B1826"/>
    <w:rsid w:val="006B1A8D"/>
    <w:rsid w:val="006B1DB5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2BA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4BD2"/>
    <w:rsid w:val="006F4D44"/>
    <w:rsid w:val="006F4D8E"/>
    <w:rsid w:val="006F6EF9"/>
    <w:rsid w:val="006F79E1"/>
    <w:rsid w:val="006F7BCF"/>
    <w:rsid w:val="007005CD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B82"/>
    <w:rsid w:val="00746D48"/>
    <w:rsid w:val="00750E72"/>
    <w:rsid w:val="00753A41"/>
    <w:rsid w:val="00755AD7"/>
    <w:rsid w:val="00756864"/>
    <w:rsid w:val="00760356"/>
    <w:rsid w:val="00760CE8"/>
    <w:rsid w:val="00761697"/>
    <w:rsid w:val="007625EC"/>
    <w:rsid w:val="007627EB"/>
    <w:rsid w:val="007658A6"/>
    <w:rsid w:val="00766BA8"/>
    <w:rsid w:val="00771F90"/>
    <w:rsid w:val="0077429E"/>
    <w:rsid w:val="00774491"/>
    <w:rsid w:val="00775996"/>
    <w:rsid w:val="0077688F"/>
    <w:rsid w:val="00776B42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73AE"/>
    <w:rsid w:val="00797420"/>
    <w:rsid w:val="00797B10"/>
    <w:rsid w:val="007A2CF0"/>
    <w:rsid w:val="007A3D39"/>
    <w:rsid w:val="007A3DB5"/>
    <w:rsid w:val="007B1106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CFC"/>
    <w:rsid w:val="007E1D9C"/>
    <w:rsid w:val="007E42C7"/>
    <w:rsid w:val="007E57D0"/>
    <w:rsid w:val="007E63F4"/>
    <w:rsid w:val="007E7FB0"/>
    <w:rsid w:val="007F336C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F06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6B39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22A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09D8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1091"/>
    <w:rsid w:val="008E158C"/>
    <w:rsid w:val="008E1CBB"/>
    <w:rsid w:val="008E1EB9"/>
    <w:rsid w:val="008E686B"/>
    <w:rsid w:val="008E7F97"/>
    <w:rsid w:val="008F10C7"/>
    <w:rsid w:val="008F16B4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6D8B"/>
    <w:rsid w:val="009170D7"/>
    <w:rsid w:val="00917BD8"/>
    <w:rsid w:val="0092003A"/>
    <w:rsid w:val="00921C98"/>
    <w:rsid w:val="00922CA8"/>
    <w:rsid w:val="0092441A"/>
    <w:rsid w:val="0092464B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A68"/>
    <w:rsid w:val="00952B7C"/>
    <w:rsid w:val="009532C0"/>
    <w:rsid w:val="00954215"/>
    <w:rsid w:val="00954A84"/>
    <w:rsid w:val="009564A8"/>
    <w:rsid w:val="0096225A"/>
    <w:rsid w:val="009623EE"/>
    <w:rsid w:val="00964FE6"/>
    <w:rsid w:val="009667BF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630A"/>
    <w:rsid w:val="00996D1C"/>
    <w:rsid w:val="009A067C"/>
    <w:rsid w:val="009A20C6"/>
    <w:rsid w:val="009A4121"/>
    <w:rsid w:val="009A4938"/>
    <w:rsid w:val="009A546A"/>
    <w:rsid w:val="009A5C60"/>
    <w:rsid w:val="009B00DB"/>
    <w:rsid w:val="009B245D"/>
    <w:rsid w:val="009B37A5"/>
    <w:rsid w:val="009B40B4"/>
    <w:rsid w:val="009B4837"/>
    <w:rsid w:val="009B78C4"/>
    <w:rsid w:val="009B7F8D"/>
    <w:rsid w:val="009C09A4"/>
    <w:rsid w:val="009C0BD9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078"/>
    <w:rsid w:val="009E2872"/>
    <w:rsid w:val="009E4A14"/>
    <w:rsid w:val="009F0D5B"/>
    <w:rsid w:val="009F102C"/>
    <w:rsid w:val="009F1A2B"/>
    <w:rsid w:val="009F307D"/>
    <w:rsid w:val="009F34AE"/>
    <w:rsid w:val="009F451D"/>
    <w:rsid w:val="009F5246"/>
    <w:rsid w:val="009F5B4F"/>
    <w:rsid w:val="009F7CC7"/>
    <w:rsid w:val="00A02D0F"/>
    <w:rsid w:val="00A0653B"/>
    <w:rsid w:val="00A0774C"/>
    <w:rsid w:val="00A07EF7"/>
    <w:rsid w:val="00A109F3"/>
    <w:rsid w:val="00A11BF8"/>
    <w:rsid w:val="00A12A90"/>
    <w:rsid w:val="00A16523"/>
    <w:rsid w:val="00A17773"/>
    <w:rsid w:val="00A207CA"/>
    <w:rsid w:val="00A21216"/>
    <w:rsid w:val="00A232AC"/>
    <w:rsid w:val="00A245A5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D74"/>
    <w:rsid w:val="00A51FC5"/>
    <w:rsid w:val="00A5251F"/>
    <w:rsid w:val="00A54D5A"/>
    <w:rsid w:val="00A56237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FB1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64FE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397"/>
    <w:rsid w:val="00AE2D81"/>
    <w:rsid w:val="00AE37BC"/>
    <w:rsid w:val="00AE4511"/>
    <w:rsid w:val="00AE48F2"/>
    <w:rsid w:val="00AE554C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631"/>
    <w:rsid w:val="00AF744F"/>
    <w:rsid w:val="00AF7543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728D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272F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400"/>
    <w:rsid w:val="00B9165C"/>
    <w:rsid w:val="00B93E09"/>
    <w:rsid w:val="00B93EE0"/>
    <w:rsid w:val="00B96BFE"/>
    <w:rsid w:val="00B971D9"/>
    <w:rsid w:val="00BA0940"/>
    <w:rsid w:val="00BA11BA"/>
    <w:rsid w:val="00BA267A"/>
    <w:rsid w:val="00BA3A0E"/>
    <w:rsid w:val="00BA3D0B"/>
    <w:rsid w:val="00BA5A0C"/>
    <w:rsid w:val="00BB0244"/>
    <w:rsid w:val="00BB105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B6B52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462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7E7"/>
    <w:rsid w:val="00BE5030"/>
    <w:rsid w:val="00BE540C"/>
    <w:rsid w:val="00BE66B6"/>
    <w:rsid w:val="00BE6CA2"/>
    <w:rsid w:val="00BE77AD"/>
    <w:rsid w:val="00BE7E89"/>
    <w:rsid w:val="00BF0BE6"/>
    <w:rsid w:val="00BF216C"/>
    <w:rsid w:val="00BF26A0"/>
    <w:rsid w:val="00BF2C7B"/>
    <w:rsid w:val="00BF61E7"/>
    <w:rsid w:val="00C0196E"/>
    <w:rsid w:val="00C01E65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744"/>
    <w:rsid w:val="00C232F1"/>
    <w:rsid w:val="00C23330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73FC"/>
    <w:rsid w:val="00C42ED0"/>
    <w:rsid w:val="00C4474C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5EE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77BF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7ED"/>
    <w:rsid w:val="00CA3A4A"/>
    <w:rsid w:val="00CA56C6"/>
    <w:rsid w:val="00CA7883"/>
    <w:rsid w:val="00CB0153"/>
    <w:rsid w:val="00CB0296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BC3"/>
    <w:rsid w:val="00CC7C8D"/>
    <w:rsid w:val="00CC7F74"/>
    <w:rsid w:val="00CD13E5"/>
    <w:rsid w:val="00CD1BD3"/>
    <w:rsid w:val="00CD3320"/>
    <w:rsid w:val="00CD55AB"/>
    <w:rsid w:val="00CD66F3"/>
    <w:rsid w:val="00CD6D6B"/>
    <w:rsid w:val="00CD6E32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0CF4"/>
    <w:rsid w:val="00CF32AB"/>
    <w:rsid w:val="00CF344A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3360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232C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BD2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3131"/>
    <w:rsid w:val="00D84E2B"/>
    <w:rsid w:val="00D8585C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E4"/>
    <w:rsid w:val="00DC5CA8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36A4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721F"/>
    <w:rsid w:val="00EC03BE"/>
    <w:rsid w:val="00EC1B2D"/>
    <w:rsid w:val="00EC1D3E"/>
    <w:rsid w:val="00EC3ACA"/>
    <w:rsid w:val="00EC4AF7"/>
    <w:rsid w:val="00EC5328"/>
    <w:rsid w:val="00EC62BA"/>
    <w:rsid w:val="00EC6529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354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E5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586"/>
    <w:rsid w:val="00F92B60"/>
    <w:rsid w:val="00F9397F"/>
    <w:rsid w:val="00F93DAF"/>
    <w:rsid w:val="00F94036"/>
    <w:rsid w:val="00F94C74"/>
    <w:rsid w:val="00F95ADC"/>
    <w:rsid w:val="00F96085"/>
    <w:rsid w:val="00F97AB2"/>
    <w:rsid w:val="00FA1886"/>
    <w:rsid w:val="00FA1977"/>
    <w:rsid w:val="00FA37F1"/>
    <w:rsid w:val="00FA467E"/>
    <w:rsid w:val="00FA49ED"/>
    <w:rsid w:val="00FA73F2"/>
    <w:rsid w:val="00FA7C6D"/>
    <w:rsid w:val="00FB03EA"/>
    <w:rsid w:val="00FB1962"/>
    <w:rsid w:val="00FB4F84"/>
    <w:rsid w:val="00FB52F3"/>
    <w:rsid w:val="00FB59C3"/>
    <w:rsid w:val="00FB6B74"/>
    <w:rsid w:val="00FB6C6B"/>
    <w:rsid w:val="00FB7598"/>
    <w:rsid w:val="00FB7C17"/>
    <w:rsid w:val="00FC0D33"/>
    <w:rsid w:val="00FC1D4F"/>
    <w:rsid w:val="00FC260D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FDDD-C9B5-4AA4-8A04-B7E737F0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38</cp:revision>
  <cp:lastPrinted>2012-03-15T10:36:00Z</cp:lastPrinted>
  <dcterms:created xsi:type="dcterms:W3CDTF">2016-09-29T18:36:00Z</dcterms:created>
  <dcterms:modified xsi:type="dcterms:W3CDTF">2017-01-09T22:25:00Z</dcterms:modified>
</cp:coreProperties>
</file>